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March 31, 2024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22"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For the transition period from _________ to 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0-20853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ANSYS,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2" w:lineRule="exact"/>
        <w:rPr>
          <w:sz w:val="24"/>
          <w:szCs w:val="24"/>
          <w:color w:val="auto"/>
        </w:rPr>
      </w:pPr>
    </w:p>
    <w:p>
      <w:pPr>
        <w:ind w:left="2000"/>
        <w:spacing w:after="0"/>
        <w:tabs>
          <w:tab w:leader="none" w:pos="85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04-3219960</w:t>
      </w:r>
    </w:p>
    <w:p>
      <w:pPr>
        <w:spacing w:after="0" w:line="58" w:lineRule="exact"/>
        <w:rPr>
          <w:sz w:val="24"/>
          <w:szCs w:val="24"/>
          <w:color w:val="auto"/>
        </w:rPr>
      </w:pPr>
    </w:p>
    <w:p>
      <w:pPr>
        <w:ind w:left="660"/>
        <w:spacing w:after="0"/>
        <w:tabs>
          <w:tab w:leader="none" w:pos="788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ectPr>
          <w:pgSz w:w="11900" w:h="16838" w:orient="portrait"/>
          <w:cols w:equalWidth="0" w:num="1">
            <w:col w:w="11240"/>
          </w:cols>
          <w:pgMar w:left="320" w:top="1040" w:right="339" w:bottom="1440" w:gutter="0" w:footer="0" w:header="0"/>
        </w:sectPr>
      </w:pPr>
    </w:p>
    <w:p>
      <w:pPr>
        <w:spacing w:after="0" w:line="46" w:lineRule="exact"/>
        <w:rPr>
          <w:sz w:val="24"/>
          <w:szCs w:val="24"/>
          <w:color w:val="auto"/>
        </w:rPr>
      </w:pPr>
    </w:p>
    <w:p>
      <w:pPr>
        <w:ind w:left="380"/>
        <w:spacing w:after="0"/>
        <w:tabs>
          <w:tab w:leader="none" w:pos="2440" w:val="left"/>
          <w:tab w:leader="none" w:pos="3820" w:val="left"/>
        </w:tabs>
        <w:rPr>
          <w:sz w:val="20"/>
          <w:szCs w:val="20"/>
          <w:color w:val="auto"/>
        </w:rPr>
      </w:pPr>
      <w:r>
        <w:rPr>
          <w:rFonts w:ascii="Times New Roman" w:cs="Times New Roman" w:eastAsia="Times New Roman" w:hAnsi="Times New Roman"/>
          <w:sz w:val="18"/>
          <w:szCs w:val="18"/>
          <w:b w:val="1"/>
          <w:bCs w:val="1"/>
          <w:color w:val="auto"/>
        </w:rPr>
        <w:t>2600 ANSYS Drive,</w:t>
      </w:r>
      <w:r>
        <w:rPr>
          <w:sz w:val="20"/>
          <w:szCs w:val="20"/>
          <w:color w:val="auto"/>
        </w:rPr>
        <w:tab/>
      </w:r>
      <w:r>
        <w:rPr>
          <w:rFonts w:ascii="Times New Roman" w:cs="Times New Roman" w:eastAsia="Times New Roman" w:hAnsi="Times New Roman"/>
          <w:sz w:val="18"/>
          <w:szCs w:val="18"/>
          <w:b w:val="1"/>
          <w:bCs w:val="1"/>
          <w:color w:val="auto"/>
        </w:rPr>
        <w:t>Canonsburg,</w:t>
      </w:r>
      <w:r>
        <w:rPr>
          <w:sz w:val="20"/>
          <w:szCs w:val="20"/>
          <w:color w:val="auto"/>
        </w:rPr>
        <w:tab/>
      </w:r>
      <w:r>
        <w:rPr>
          <w:rFonts w:ascii="Times New Roman" w:cs="Times New Roman" w:eastAsia="Times New Roman" w:hAnsi="Times New Roman"/>
          <w:sz w:val="18"/>
          <w:szCs w:val="18"/>
          <w:b w:val="1"/>
          <w:bCs w:val="1"/>
          <w:color w:val="auto"/>
        </w:rPr>
        <w:t>PA</w:t>
      </w:r>
    </w:p>
    <w:p>
      <w:pPr>
        <w:spacing w:after="0" w:line="4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15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844-462-6797</w:t>
      </w:r>
    </w:p>
    <w:p>
      <w:pPr>
        <w:spacing w:after="0" w:line="31" w:lineRule="exact"/>
        <w:rPr>
          <w:sz w:val="24"/>
          <w:szCs w:val="24"/>
          <w:color w:val="auto"/>
        </w:rPr>
      </w:pPr>
    </w:p>
    <w:p>
      <w:pPr>
        <w:jc w:val="center"/>
        <w:ind w:left="392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8" w:lineRule="exact"/>
        <w:rPr>
          <w:sz w:val="24"/>
          <w:szCs w:val="24"/>
          <w:color w:val="auto"/>
        </w:rPr>
      </w:pPr>
    </w:p>
    <w:p>
      <w:pPr>
        <w:jc w:val="center"/>
        <w:ind w:left="326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1" w:lineRule="exact"/>
        <w:rPr>
          <w:sz w:val="24"/>
          <w:szCs w:val="24"/>
          <w:color w:val="auto"/>
        </w:rPr>
      </w:pPr>
    </w:p>
    <w:p>
      <w:pPr>
        <w:jc w:val="center"/>
        <w:ind w:left="3260"/>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15317</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981" w:lineRule="exact"/>
        <w:rPr>
          <w:sz w:val="24"/>
          <w:szCs w:val="24"/>
          <w:color w:val="auto"/>
        </w:rPr>
      </w:pPr>
    </w:p>
    <w:p>
      <w:pPr>
        <w:sectPr>
          <w:pgSz w:w="11900" w:h="16838" w:orient="portrait"/>
          <w:cols w:equalWidth="0" w:num="2">
            <w:col w:w="7980" w:space="640"/>
            <w:col w:w="2620"/>
          </w:cols>
          <w:pgMar w:left="320" w:top="1040"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5" w:lineRule="exact"/>
        <w:rPr>
          <w:sz w:val="24"/>
          <w:szCs w:val="24"/>
          <w:color w:val="auto"/>
        </w:rPr>
      </w:pPr>
    </w:p>
    <w:p>
      <w:pPr>
        <w:ind w:left="1700"/>
        <w:spacing w:after="0"/>
        <w:tabs>
          <w:tab w:leader="none" w:pos="4920" w:val="left"/>
          <w:tab w:leader="none" w:pos="7280" w:val="left"/>
        </w:tabs>
        <w:rPr>
          <w:sz w:val="20"/>
          <w:szCs w:val="20"/>
          <w:color w:val="auto"/>
        </w:rPr>
      </w:pPr>
      <w:r>
        <w:rPr>
          <w:rFonts w:ascii="Times New Roman" w:cs="Times New Roman" w:eastAsia="Times New Roman" w:hAnsi="Times New Roman"/>
          <w:sz w:val="18"/>
          <w:szCs w:val="18"/>
          <w:color w:val="auto"/>
        </w:rPr>
        <w:t>Title of each class</w:t>
      </w:r>
      <w:r>
        <w:rPr>
          <w:sz w:val="20"/>
          <w:szCs w:val="20"/>
          <w:color w:val="auto"/>
        </w:rPr>
        <w:tab/>
      </w:r>
      <w:r>
        <w:rPr>
          <w:rFonts w:ascii="Times New Roman" w:cs="Times New Roman" w:eastAsia="Times New Roman" w:hAnsi="Times New Roman"/>
          <w:sz w:val="18"/>
          <w:szCs w:val="18"/>
          <w:color w:val="auto"/>
        </w:rPr>
        <w:t>Trading Symbol(s)</w:t>
      </w:r>
      <w:r>
        <w:rPr>
          <w:sz w:val="20"/>
          <w:szCs w:val="20"/>
          <w:color w:val="auto"/>
        </w:rPr>
        <w:tab/>
      </w:r>
      <w:r>
        <w:rPr>
          <w:rFonts w:ascii="Times New Roman" w:cs="Times New Roman" w:eastAsia="Times New Roman" w:hAnsi="Times New Roman"/>
          <w:sz w:val="17"/>
          <w:szCs w:val="17"/>
          <w:color w:val="auto"/>
        </w:rPr>
        <w:t>Name of each exchange on which registered</w:t>
      </w:r>
    </w:p>
    <w:p>
      <w:pPr>
        <w:spacing w:after="0" w:line="27" w:lineRule="exact"/>
        <w:rPr>
          <w:sz w:val="24"/>
          <w:szCs w:val="24"/>
          <w:color w:val="auto"/>
        </w:rPr>
      </w:pPr>
    </w:p>
    <w:p>
      <w:pPr>
        <w:ind w:left="740"/>
        <w:spacing w:after="0"/>
        <w:tabs>
          <w:tab w:leader="none" w:pos="5360" w:val="left"/>
          <w:tab w:leader="none" w:pos="7820" w:val="left"/>
        </w:tabs>
        <w:rPr>
          <w:sz w:val="20"/>
          <w:szCs w:val="20"/>
          <w:color w:val="auto"/>
        </w:rPr>
      </w:pPr>
      <w:r>
        <w:rPr>
          <w:rFonts w:ascii="Times New Roman" w:cs="Times New Roman" w:eastAsia="Times New Roman" w:hAnsi="Times New Roman"/>
          <w:sz w:val="18"/>
          <w:szCs w:val="18"/>
          <w:b w:val="1"/>
          <w:bCs w:val="1"/>
          <w:color w:val="auto"/>
        </w:rPr>
        <w:t>Common Stock, $0.01 par value per share</w:t>
      </w:r>
      <w:r>
        <w:rPr>
          <w:sz w:val="20"/>
          <w:szCs w:val="20"/>
          <w:color w:val="auto"/>
        </w:rPr>
        <w:tab/>
      </w:r>
      <w:r>
        <w:rPr>
          <w:rFonts w:ascii="Times New Roman" w:cs="Times New Roman" w:eastAsia="Times New Roman" w:hAnsi="Times New Roman"/>
          <w:sz w:val="18"/>
          <w:szCs w:val="18"/>
          <w:b w:val="1"/>
          <w:bCs w:val="1"/>
          <w:color w:val="auto"/>
        </w:rPr>
        <w:t>ANSS</w:t>
      </w:r>
      <w:r>
        <w:rPr>
          <w:sz w:val="20"/>
          <w:szCs w:val="20"/>
          <w:color w:val="auto"/>
        </w:rPr>
        <w:tab/>
      </w:r>
      <w:r>
        <w:rPr>
          <w:rFonts w:ascii="Times New Roman" w:cs="Times New Roman" w:eastAsia="Times New Roman" w:hAnsi="Times New Roman"/>
          <w:sz w:val="18"/>
          <w:szCs w:val="18"/>
          <w:b w:val="1"/>
          <w:bCs w:val="1"/>
          <w:color w:val="auto"/>
        </w:rPr>
        <w:t>Nasdaq Stock Market LLC</w:t>
      </w:r>
    </w:p>
    <w:p>
      <w:pPr>
        <w:spacing w:after="0" w:line="23" w:lineRule="exact"/>
        <w:rPr>
          <w:sz w:val="24"/>
          <w:szCs w:val="24"/>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p>
      <w:pPr>
        <w:spacing w:after="0" w:line="99" w:lineRule="exact"/>
        <w:rPr>
          <w:sz w:val="24"/>
          <w:szCs w:val="24"/>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1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99"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020"/>
        <w:spacing w:after="0" w:line="207" w:lineRule="exact"/>
        <w:tabs>
          <w:tab w:leader="none" w:pos="107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highlight w:val="black"/>
        </w:rPr>
        <w:t>☐</w:t>
      </w:r>
    </w:p>
    <w:p>
      <w:pPr>
        <w:spacing w:after="0" w:line="112"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106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8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2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8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8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48" w:lineRule="exact"/>
        <w:rPr>
          <w:sz w:val="24"/>
          <w:szCs w:val="24"/>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jc w:val="right"/>
        <w:spacing w:after="0" w:line="181" w:lineRule="exact"/>
        <w:rPr>
          <w:sz w:val="20"/>
          <w:szCs w:val="20"/>
          <w:color w:val="auto"/>
        </w:rPr>
      </w:pPr>
      <w:r>
        <w:rPr>
          <w:rFonts w:ascii="MS PGothic" w:cs="MS PGothic" w:eastAsia="MS PGothic" w:hAnsi="MS PGothic"/>
          <w:sz w:val="18"/>
          <w:szCs w:val="18"/>
          <w:color w:val="auto"/>
          <w:highlight w:val="black"/>
        </w:rPr>
        <w:t>☐</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ind w:left="10120"/>
        <w:spacing w:after="0" w:line="195"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$0.01 par value per share, outstanding as of April 26, 2024 was 87,299,981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574675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ANSYS, INC. AND SUBSIDIARIES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INDEX</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340" w:type="dxa"/>
            <w:vAlign w:val="bottom"/>
            <w:gridSpan w:val="3"/>
          </w:tcPr>
          <w:p>
            <w:pPr>
              <w:spacing w:after="0"/>
              <w:rPr>
                <w:sz w:val="20"/>
                <w:szCs w:val="20"/>
                <w:color w:val="auto"/>
              </w:rPr>
            </w:pPr>
          </w:p>
        </w:tc>
        <w:tc>
          <w:tcPr>
            <w:tcW w:w="88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3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70"/>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80" w:type="dxa"/>
            <w:vAlign w:val="bottom"/>
            <w:tcBorders>
              <w:top w:val="single" w:sz="8" w:color="0000FF"/>
            </w:tcBorders>
            <w:gridSpan w:val="2"/>
          </w:tcPr>
          <w:p>
            <w:pPr>
              <w:spacing w:after="0"/>
              <w:rPr>
                <w:sz w:val="23"/>
                <w:szCs w:val="23"/>
                <w:color w:val="auto"/>
              </w:rPr>
            </w:pPr>
          </w:p>
        </w:tc>
        <w:tc>
          <w:tcPr>
            <w:tcW w:w="340" w:type="dxa"/>
            <w:vAlign w:val="bottom"/>
            <w:gridSpan w:val="3"/>
          </w:tcPr>
          <w:p>
            <w:pPr>
              <w:spacing w:after="0"/>
              <w:rPr>
                <w:sz w:val="23"/>
                <w:szCs w:val="23"/>
                <w:color w:val="auto"/>
              </w:rPr>
            </w:pPr>
          </w:p>
        </w:tc>
        <w:tc>
          <w:tcPr>
            <w:tcW w:w="23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480" w:type="dxa"/>
            <w:vAlign w:val="bottom"/>
            <w:gridSpan w:val="10"/>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 March 31, 2024 and December 31, 2023</w:t>
            </w:r>
          </w:p>
        </w:tc>
        <w:tc>
          <w:tcPr>
            <w:tcW w:w="2840" w:type="dxa"/>
            <w:vAlign w:val="bottom"/>
            <w:gridSpan w:val="6"/>
          </w:tcPr>
          <w:p>
            <w:pPr>
              <w:spacing w:after="0"/>
              <w:rPr>
                <w:sz w:val="22"/>
                <w:szCs w:val="22"/>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 Three Months Ended March 31, 2024 and 2023</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1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 Three Months Ended March 31, 2024 and 2023</w:t>
            </w:r>
          </w:p>
        </w:tc>
        <w:tc>
          <w:tcPr>
            <w:tcW w:w="680" w:type="dxa"/>
            <w:vAlign w:val="bottom"/>
          </w:tcPr>
          <w:p>
            <w:pPr>
              <w:spacing w:after="0"/>
              <w:rPr>
                <w:sz w:val="22"/>
                <w:szCs w:val="22"/>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1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Three Months Ended March 31, 2024 and 2023</w:t>
            </w:r>
          </w:p>
        </w:tc>
        <w:tc>
          <w:tcPr>
            <w:tcW w:w="680" w:type="dxa"/>
            <w:vAlign w:val="bottom"/>
          </w:tcPr>
          <w:p>
            <w:pPr>
              <w:spacing w:after="0"/>
              <w:rPr>
                <w:sz w:val="22"/>
                <w:szCs w:val="22"/>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 Three Months Ended March 31, 2024 and 2023</w:t>
            </w:r>
          </w:p>
        </w:tc>
        <w:tc>
          <w:tcPr>
            <w:tcW w:w="900" w:type="dxa"/>
            <w:vAlign w:val="bottom"/>
            <w:gridSpan w:val="2"/>
          </w:tcPr>
          <w:p>
            <w:pPr>
              <w:spacing w:after="0"/>
              <w:rPr>
                <w:sz w:val="22"/>
                <w:szCs w:val="22"/>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960" w:type="dxa"/>
            <w:vAlign w:val="bottom"/>
            <w:gridSpan w:val="7"/>
          </w:tcPr>
          <w:p>
            <w:pPr>
              <w:spacing w:after="0"/>
              <w:rPr>
                <w:sz w:val="22"/>
                <w:szCs w:val="22"/>
                <w:color w:val="auto"/>
              </w:rPr>
            </w:pPr>
          </w:p>
        </w:tc>
        <w:tc>
          <w:tcPr>
            <w:tcW w:w="900" w:type="dxa"/>
            <w:vAlign w:val="bottom"/>
            <w:gridSpan w:val="2"/>
          </w:tcPr>
          <w:p>
            <w:pPr>
              <w:spacing w:after="0"/>
              <w:rPr>
                <w:sz w:val="22"/>
                <w:szCs w:val="22"/>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00" w:type="dxa"/>
            <w:vAlign w:val="bottom"/>
            <w:gridSpan w:val="4"/>
          </w:tcPr>
          <w:p>
            <w:pPr>
              <w:spacing w:after="0"/>
              <w:rPr>
                <w:sz w:val="22"/>
                <w:szCs w:val="22"/>
                <w:color w:val="auto"/>
              </w:rPr>
            </w:pPr>
          </w:p>
        </w:tc>
        <w:tc>
          <w:tcPr>
            <w:tcW w:w="64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20" w:type="dxa"/>
            <w:vAlign w:val="bottom"/>
            <w:gridSpan w:val="5"/>
          </w:tcPr>
          <w:p>
            <w:pPr>
              <w:spacing w:after="0"/>
              <w:rPr>
                <w:sz w:val="22"/>
                <w:szCs w:val="22"/>
                <w:color w:val="auto"/>
              </w:rPr>
            </w:pPr>
          </w:p>
        </w:tc>
        <w:tc>
          <w:tcPr>
            <w:tcW w:w="1220" w:type="dxa"/>
            <w:vAlign w:val="bottom"/>
            <w:gridSpan w:val="2"/>
          </w:tcPr>
          <w:p>
            <w:pPr>
              <w:spacing w:after="0"/>
              <w:rPr>
                <w:sz w:val="22"/>
                <w:szCs w:val="22"/>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19</w:t>
            </w:r>
          </w:p>
        </w:tc>
      </w:tr>
      <w:tr>
        <w:trPr>
          <w:trHeight w:val="263"/>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00" w:type="dxa"/>
            <w:vAlign w:val="bottom"/>
            <w:gridSpan w:val="4"/>
          </w:tcPr>
          <w:p>
            <w:pPr>
              <w:spacing w:after="0"/>
              <w:rPr>
                <w:sz w:val="22"/>
                <w:szCs w:val="22"/>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500" w:type="dxa"/>
            <w:vAlign w:val="bottom"/>
            <w:gridSpan w:val="7"/>
          </w:tcPr>
          <w:p>
            <w:pPr>
              <w:spacing w:after="0"/>
              <w:rPr>
                <w:sz w:val="22"/>
                <w:szCs w:val="22"/>
                <w:color w:val="auto"/>
              </w:rPr>
            </w:pPr>
          </w:p>
        </w:tc>
        <w:tc>
          <w:tcPr>
            <w:tcW w:w="1220" w:type="dxa"/>
            <w:vAlign w:val="bottom"/>
            <w:gridSpan w:val="2"/>
          </w:tcPr>
          <w:p>
            <w:pPr>
              <w:spacing w:after="0"/>
              <w:rPr>
                <w:sz w:val="22"/>
                <w:szCs w:val="22"/>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38</w:t>
            </w: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20" w:type="dxa"/>
            <w:vAlign w:val="bottom"/>
            <w:gridSpan w:val="5"/>
          </w:tcPr>
          <w:p>
            <w:pPr>
              <w:spacing w:after="0"/>
              <w:rPr>
                <w:sz w:val="22"/>
                <w:szCs w:val="22"/>
                <w:color w:val="auto"/>
              </w:rPr>
            </w:pPr>
          </w:p>
        </w:tc>
        <w:tc>
          <w:tcPr>
            <w:tcW w:w="8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40</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8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6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20" w:type="dxa"/>
            <w:vAlign w:val="bottom"/>
            <w:tcBorders>
              <w:top w:val="single" w:sz="8" w:color="0000FF"/>
            </w:tcBorders>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FF"/>
            </w:tcBorders>
            <w:gridSpan w:val="3"/>
          </w:tcPr>
          <w:p>
            <w:pPr>
              <w:spacing w:after="0"/>
              <w:rPr>
                <w:sz w:val="22"/>
                <w:szCs w:val="22"/>
                <w:color w:val="auto"/>
              </w:rPr>
            </w:pPr>
          </w:p>
        </w:tc>
        <w:tc>
          <w:tcPr>
            <w:tcW w:w="6840" w:type="dxa"/>
            <w:vAlign w:val="bottom"/>
            <w:gridSpan w:val="12"/>
          </w:tcPr>
          <w:p>
            <w:pPr>
              <w:spacing w:after="0"/>
              <w:rPr>
                <w:sz w:val="22"/>
                <w:szCs w:val="22"/>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41</w:t>
            </w:r>
          </w:p>
        </w:tc>
      </w:tr>
      <w:tr>
        <w:trPr>
          <w:trHeight w:val="263"/>
        </w:trPr>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8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41</w:t>
            </w:r>
          </w:p>
        </w:tc>
      </w:tr>
      <w:tr>
        <w:trPr>
          <w:trHeight w:val="20"/>
        </w:trPr>
        <w:tc>
          <w:tcPr>
            <w:tcW w:w="64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22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gridSpan w:val="2"/>
          </w:tcPr>
          <w:p>
            <w:pPr>
              <w:spacing w:after="0"/>
              <w:rPr>
                <w:sz w:val="22"/>
                <w:szCs w:val="22"/>
                <w:color w:val="auto"/>
              </w:rPr>
            </w:pPr>
          </w:p>
        </w:tc>
        <w:tc>
          <w:tcPr>
            <w:tcW w:w="300" w:type="dxa"/>
            <w:vAlign w:val="bottom"/>
            <w:gridSpan w:val="2"/>
          </w:tcPr>
          <w:p>
            <w:pPr>
              <w:spacing w:after="0"/>
              <w:rPr>
                <w:sz w:val="22"/>
                <w:szCs w:val="22"/>
                <w:color w:val="auto"/>
              </w:rPr>
            </w:pPr>
          </w:p>
        </w:tc>
        <w:tc>
          <w:tcPr>
            <w:tcW w:w="8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41</w:t>
            </w:r>
          </w:p>
        </w:tc>
      </w:tr>
      <w:tr>
        <w:trPr>
          <w:trHeight w:val="264"/>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00" w:type="dxa"/>
            <w:vAlign w:val="bottom"/>
            <w:gridSpan w:val="4"/>
          </w:tcPr>
          <w:p>
            <w:pPr>
              <w:spacing w:after="0"/>
              <w:rPr>
                <w:sz w:val="22"/>
                <w:szCs w:val="22"/>
                <w:color w:val="auto"/>
              </w:rPr>
            </w:pP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520" w:type="dxa"/>
            <w:vAlign w:val="bottom"/>
            <w:gridSpan w:val="8"/>
          </w:tcPr>
          <w:p>
            <w:pPr>
              <w:spacing w:after="0"/>
              <w:rPr>
                <w:sz w:val="22"/>
                <w:szCs w:val="22"/>
                <w:color w:val="auto"/>
              </w:rPr>
            </w:pPr>
          </w:p>
        </w:tc>
        <w:tc>
          <w:tcPr>
            <w:tcW w:w="1220" w:type="dxa"/>
            <w:vAlign w:val="bottom"/>
            <w:gridSpan w:val="2"/>
          </w:tcPr>
          <w:p>
            <w:pPr>
              <w:spacing w:after="0"/>
              <w:rPr>
                <w:sz w:val="22"/>
                <w:szCs w:val="22"/>
                <w:color w:val="auto"/>
              </w:rPr>
            </w:pPr>
          </w:p>
        </w:tc>
        <w:tc>
          <w:tcPr>
            <w:tcW w:w="14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41</w:t>
            </w:r>
          </w:p>
        </w:tc>
      </w:tr>
      <w:tr>
        <w:trPr>
          <w:trHeight w:val="263"/>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400" w:type="dxa"/>
            <w:vAlign w:val="bottom"/>
            <w:tcBorders>
              <w:top w:val="single" w:sz="8" w:color="0000FF"/>
            </w:tcBorders>
            <w:gridSpan w:val="4"/>
          </w:tcPr>
          <w:p>
            <w:pPr>
              <w:spacing w:after="0"/>
              <w:rPr>
                <w:sz w:val="22"/>
                <w:szCs w:val="22"/>
                <w:color w:val="auto"/>
              </w:rPr>
            </w:pPr>
          </w:p>
        </w:tc>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540" w:type="dxa"/>
            <w:vAlign w:val="bottom"/>
            <w:gridSpan w:val="11"/>
          </w:tcPr>
          <w:p>
            <w:pPr>
              <w:spacing w:after="0"/>
              <w:rPr>
                <w:sz w:val="22"/>
                <w:szCs w:val="22"/>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41</w:t>
            </w:r>
          </w:p>
        </w:tc>
      </w:tr>
      <w:tr>
        <w:trPr>
          <w:trHeight w:val="264"/>
        </w:trPr>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400" w:type="dxa"/>
            <w:vAlign w:val="bottom"/>
            <w:gridSpan w:val="4"/>
          </w:tcPr>
          <w:p>
            <w:pPr>
              <w:spacing w:after="0"/>
              <w:rPr>
                <w:sz w:val="22"/>
                <w:szCs w:val="22"/>
                <w:color w:val="auto"/>
              </w:rPr>
            </w:pP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2"/>
                <w:szCs w:val="22"/>
                <w:color w:val="auto"/>
              </w:rPr>
            </w:pPr>
          </w:p>
        </w:tc>
        <w:tc>
          <w:tcPr>
            <w:tcW w:w="7100" w:type="dxa"/>
            <w:vAlign w:val="bottom"/>
            <w:gridSpan w:val="13"/>
          </w:tcPr>
          <w:p>
            <w:pPr>
              <w:spacing w:after="0"/>
              <w:rPr>
                <w:sz w:val="22"/>
                <w:szCs w:val="22"/>
                <w:color w:val="auto"/>
              </w:rPr>
            </w:pPr>
          </w:p>
        </w:tc>
        <w:tc>
          <w:tcPr>
            <w:tcW w:w="1220" w:type="dxa"/>
            <w:vAlign w:val="bottom"/>
            <w:gridSpan w:val="2"/>
          </w:tcPr>
          <w:p>
            <w:pPr>
              <w:spacing w:after="0"/>
              <w:rPr>
                <w:sz w:val="22"/>
                <w:szCs w:val="22"/>
                <w:color w:val="auto"/>
              </w:rPr>
            </w:pPr>
          </w:p>
        </w:tc>
        <w:tc>
          <w:tcPr>
            <w:tcW w:w="1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41</w:t>
            </w:r>
          </w:p>
        </w:tc>
      </w:tr>
      <w:tr>
        <w:trPr>
          <w:trHeight w:val="263"/>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20" w:type="dxa"/>
            <w:vAlign w:val="bottom"/>
            <w:gridSpan w:val="5"/>
          </w:tcPr>
          <w:p>
            <w:pPr>
              <w:spacing w:after="0"/>
              <w:rPr>
                <w:sz w:val="22"/>
                <w:szCs w:val="22"/>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260" w:type="dxa"/>
            <w:vAlign w:val="bottom"/>
            <w:gridSpan w:val="19"/>
          </w:tcPr>
          <w:p>
            <w:pPr>
              <w:spacing w:after="0"/>
              <w:rPr>
                <w:sz w:val="22"/>
                <w:szCs w:val="22"/>
                <w:color w:val="auto"/>
              </w:rPr>
            </w:pPr>
          </w:p>
        </w:tc>
        <w:tc>
          <w:tcPr>
            <w:tcW w:w="1220" w:type="dxa"/>
            <w:vAlign w:val="bottom"/>
            <w:gridSpan w:val="2"/>
          </w:tcPr>
          <w:p>
            <w:pPr>
              <w:spacing w:after="0"/>
              <w:rPr>
                <w:sz w:val="22"/>
                <w:szCs w:val="22"/>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42</w:t>
            </w: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7760" w:type="dxa"/>
            <w:vAlign w:val="bottom"/>
            <w:gridSpan w:val="17"/>
          </w:tcPr>
          <w:p>
            <w:pPr>
              <w:spacing w:after="0"/>
              <w:rPr>
                <w:sz w:val="22"/>
                <w:szCs w:val="22"/>
                <w:color w:val="auto"/>
              </w:rPr>
            </w:pPr>
          </w:p>
        </w:tc>
        <w:tc>
          <w:tcPr>
            <w:tcW w:w="1220" w:type="dxa"/>
            <w:vAlign w:val="bottom"/>
            <w:gridSpan w:val="2"/>
          </w:tcPr>
          <w:p>
            <w:pPr>
              <w:spacing w:after="0"/>
              <w:rPr>
                <w:sz w:val="22"/>
                <w:szCs w:val="22"/>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887"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ANSYS,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data)</w:t>
            </w:r>
          </w:p>
        </w:tc>
        <w:tc>
          <w:tcPr>
            <w:tcW w:w="22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4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1,050,509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860,201</w:t>
            </w:r>
          </w:p>
        </w:tc>
        <w:tc>
          <w:tcPr>
            <w:tcW w:w="0" w:type="dxa"/>
            <w:vAlign w:val="bottom"/>
          </w:tcPr>
          <w:p>
            <w:pPr>
              <w:spacing w:after="0"/>
              <w:rPr>
                <w:sz w:val="1"/>
                <w:szCs w:val="1"/>
                <w:color w:val="auto"/>
              </w:rPr>
            </w:pPr>
          </w:p>
        </w:tc>
      </w:tr>
      <w:tr>
        <w:trPr>
          <w:trHeight w:val="229"/>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$20,700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650,044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864,526</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receivables and current assets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260,518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324,651</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1,981,171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2,049,567</w:t>
            </w:r>
          </w:p>
        </w:tc>
        <w:tc>
          <w:tcPr>
            <w:tcW w:w="0" w:type="dxa"/>
            <w:vAlign w:val="bottom"/>
          </w:tcPr>
          <w:p>
            <w:pPr>
              <w:spacing w:after="0"/>
              <w:rPr>
                <w:sz w:val="1"/>
                <w:szCs w:val="1"/>
                <w:color w:val="auto"/>
              </w:rPr>
            </w:pPr>
          </w:p>
        </w:tc>
      </w:tr>
      <w:tr>
        <w:trPr>
          <w:trHeight w:val="20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80,930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77,780</w:t>
            </w:r>
          </w:p>
        </w:tc>
        <w:tc>
          <w:tcPr>
            <w:tcW w:w="0" w:type="dxa"/>
            <w:vAlign w:val="bottom"/>
          </w:tcPr>
          <w:p>
            <w:pPr>
              <w:spacing w:after="0"/>
              <w:rPr>
                <w:sz w:val="1"/>
                <w:szCs w:val="1"/>
                <w:color w:val="auto"/>
              </w:rPr>
            </w:pP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111,069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116,980</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3,797,859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3,805,874</w:t>
            </w:r>
          </w:p>
        </w:tc>
        <w:tc>
          <w:tcPr>
            <w:tcW w:w="0" w:type="dxa"/>
            <w:vAlign w:val="bottom"/>
          </w:tcPr>
          <w:p>
            <w:pPr>
              <w:spacing w:after="0"/>
              <w:rPr>
                <w:sz w:val="1"/>
                <w:szCs w:val="1"/>
                <w:color w:val="auto"/>
              </w:rPr>
            </w:pP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806,375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835,417</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210,165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273,030</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162,845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164,227</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long-term assets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5,169,243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5,273,308</w:t>
            </w:r>
          </w:p>
        </w:tc>
        <w:tc>
          <w:tcPr>
            <w:tcW w:w="0" w:type="dxa"/>
            <w:vAlign w:val="bottom"/>
          </w:tcPr>
          <w:p>
            <w:pPr>
              <w:spacing w:after="0"/>
              <w:rPr>
                <w:sz w:val="1"/>
                <w:szCs w:val="1"/>
                <w:color w:val="auto"/>
              </w:rPr>
            </w:pPr>
          </w:p>
        </w:tc>
      </w:tr>
      <w:tr>
        <w:trPr>
          <w:trHeight w:val="223"/>
        </w:trPr>
        <w:tc>
          <w:tcPr>
            <w:tcW w:w="84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7,150,414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7,322,875</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22,772</w:t>
            </w:r>
          </w:p>
        </w:tc>
        <w:tc>
          <w:tcPr>
            <w:tcW w:w="0" w:type="dxa"/>
            <w:vAlign w:val="bottom"/>
          </w:tcPr>
          <w:p>
            <w:pPr>
              <w:spacing w:after="0"/>
              <w:rPr>
                <w:sz w:val="1"/>
                <w:szCs w:val="1"/>
                <w:color w:val="auto"/>
              </w:rPr>
            </w:pP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bonuses and commissions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170,909</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22,454</w:t>
            </w:r>
          </w:p>
        </w:tc>
        <w:tc>
          <w:tcPr>
            <w:tcW w:w="0" w:type="dxa"/>
            <w:vAlign w:val="bottom"/>
          </w:tcPr>
          <w:p>
            <w:pPr>
              <w:spacing w:after="0"/>
              <w:rPr>
                <w:sz w:val="1"/>
                <w:szCs w:val="1"/>
                <w:color w:val="auto"/>
              </w:rPr>
            </w:pP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187,722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215,645</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433,167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457,514</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706,574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889,294</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73,092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75,301</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95,320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100,505</w:t>
            </w:r>
          </w:p>
        </w:tc>
        <w:tc>
          <w:tcPr>
            <w:tcW w:w="0" w:type="dxa"/>
            <w:vAlign w:val="bottom"/>
          </w:tcPr>
          <w:p>
            <w:pPr>
              <w:spacing w:after="0"/>
              <w:rPr>
                <w:sz w:val="1"/>
                <w:szCs w:val="1"/>
                <w:color w:val="auto"/>
              </w:rPr>
            </w:pP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753,970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753,891</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111,815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113,520</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1,034,197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1,043,217</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$0.01 par value; 2,000,000 shares authorized; zero shares issued or outstanding</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$0.01 par value; 300,000,000 shares authorized; 95,267,307 shares issued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1,641,813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1,670,450</w:t>
            </w:r>
          </w:p>
        </w:tc>
        <w:tc>
          <w:tcPr>
            <w:tcW w:w="0" w:type="dxa"/>
            <w:vAlign w:val="bottom"/>
          </w:tcPr>
          <w:p>
            <w:pPr>
              <w:spacing w:after="0"/>
              <w:rPr>
                <w:sz w:val="1"/>
                <w:szCs w:val="1"/>
                <w:color w:val="auto"/>
              </w:rPr>
            </w:pP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5,318,120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5,283,342</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stock, at cost: 7,971,231 and 8,361,447 shares, respectively</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(1,438,948)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(1,474,110)</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(112,295)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(90,271)</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5,409,643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5,390,364</w:t>
            </w:r>
          </w:p>
        </w:tc>
        <w:tc>
          <w:tcPr>
            <w:tcW w:w="0" w:type="dxa"/>
            <w:vAlign w:val="bottom"/>
          </w:tcPr>
          <w:p>
            <w:pPr>
              <w:spacing w:after="0"/>
              <w:rPr>
                <w:sz w:val="1"/>
                <w:szCs w:val="1"/>
                <w:color w:val="auto"/>
              </w:rPr>
            </w:pPr>
          </w:p>
        </w:tc>
      </w:tr>
      <w:tr>
        <w:trPr>
          <w:trHeight w:val="223"/>
        </w:trPr>
        <w:tc>
          <w:tcPr>
            <w:tcW w:w="84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7,150,414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7,322,875</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ANSYS,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220" w:type="dxa"/>
            <w:vAlign w:val="bottom"/>
          </w:tcPr>
          <w:p>
            <w:pPr>
              <w:spacing w:after="0"/>
              <w:rPr>
                <w:sz w:val="11"/>
                <w:szCs w:val="11"/>
                <w:color w:val="auto"/>
              </w:rPr>
            </w:pPr>
          </w:p>
        </w:tc>
        <w:tc>
          <w:tcPr>
            <w:tcW w:w="120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1"/>
                <w:szCs w:val="11"/>
                <w:color w:val="auto"/>
              </w:rPr>
            </w:pPr>
          </w:p>
        </w:tc>
        <w:tc>
          <w:tcPr>
            <w:tcW w:w="1100" w:type="dxa"/>
            <w:vAlign w:val="bottom"/>
          </w:tcPr>
          <w:p>
            <w:pPr>
              <w:jc w:val="right"/>
              <w:ind w:right="25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84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5"/>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Software licenses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160,321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219,152</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Maintenance and service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306,284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290,295</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466,605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509,447</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Software licenses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11,744</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19,618</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Maintenance and service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36,290</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67,652</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397,938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441,795</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219,643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188,584</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120,335</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354,599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314,100</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127,695</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(10,758)</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120,838</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20,216</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34,778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100,622</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Earnings per share – basic:</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shares</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87,067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Weighted average shares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4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87,780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87,431</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ANSYS,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ectPr>
          <w:pgSz w:w="11900" w:h="16838" w:orient="portrait"/>
          <w:cols w:equalWidth="0" w:num="1">
            <w:col w:w="11220"/>
          </w:cols>
          <w:pgMar w:left="320" w:top="121" w:right="359" w:bottom="1440" w:gutter="0" w:footer="0" w:header="0"/>
        </w:sectPr>
      </w:pP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23" w:lineRule="exact"/>
        <w:rPr>
          <w:sz w:val="20"/>
          <w:szCs w:val="20"/>
          <w:color w:val="auto"/>
        </w:rPr>
      </w:pPr>
    </w:p>
    <w:p>
      <w:pPr>
        <w:ind w:left="40" w:right="2420" w:firstLine="324"/>
        <w:spacing w:after="0" w:line="292" w:lineRule="auto"/>
        <w:rPr>
          <w:sz w:val="20"/>
          <w:szCs w:val="20"/>
          <w:color w:val="auto"/>
        </w:rPr>
      </w:pPr>
      <w:r>
        <w:rPr>
          <w:rFonts w:ascii="Times New Roman" w:cs="Times New Roman" w:eastAsia="Times New Roman" w:hAnsi="Times New Roman"/>
          <w:sz w:val="18"/>
          <w:szCs w:val="18"/>
          <w:color w:val="auto"/>
        </w:rPr>
        <w:t>Net unrealized losses on available-for-sale securities, net of tax of $0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-173355</wp:posOffset>
            </wp:positionV>
            <wp:extent cx="710628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40"/>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142"/>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34,778</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100,622</w:t>
            </w:r>
          </w:p>
        </w:tc>
      </w:tr>
    </w:tbl>
    <w:p>
      <w:pPr>
        <w:spacing w:after="0" w:line="212"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(21,947)</w:t>
      </w:r>
      <w:r>
        <w:rPr>
          <w:sz w:val="20"/>
          <w:szCs w:val="20"/>
          <w:color w:val="auto"/>
        </w:rPr>
        <w:tab/>
      </w:r>
      <w:r>
        <w:rPr>
          <w:rFonts w:ascii="Times New Roman" w:cs="Times New Roman" w:eastAsia="Times New Roman" w:hAnsi="Times New Roman"/>
          <w:sz w:val="18"/>
          <w:szCs w:val="18"/>
          <w:color w:val="auto"/>
        </w:rPr>
        <w:t>13,284</w:t>
      </w:r>
    </w:p>
    <w:p>
      <w:pPr>
        <w:spacing w:after="0" w:line="31" w:lineRule="exact"/>
        <w:rPr>
          <w:sz w:val="20"/>
          <w:szCs w:val="20"/>
          <w:color w:val="auto"/>
        </w:rPr>
      </w:pPr>
    </w:p>
    <w:p>
      <w:pPr>
        <w:ind w:left="2480" w:hanging="1498"/>
        <w:spacing w:after="0"/>
        <w:tabs>
          <w:tab w:leader="none" w:pos="24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tabs>
          <w:tab w:leader="none" w:pos="720" w:val="left"/>
          <w:tab w:leader="none" w:pos="1420" w:val="left"/>
          <w:tab w:leader="none" w:pos="206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12,754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113,906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1748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7760" w:space="720"/>
            <w:col w:w="2740"/>
          </w:cols>
          <w:pgMar w:left="320" w:top="121" w:right="359" w:bottom="1440" w:gutter="0" w:footer="0" w:header="0"/>
          <w:type w:val="continuous"/>
        </w:sectPr>
      </w:pP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 condensed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ANSYS,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1"/>
                <w:szCs w:val="11"/>
                <w:color w:val="auto"/>
              </w:rPr>
            </w:pPr>
          </w:p>
        </w:tc>
        <w:tc>
          <w:tcPr>
            <w:tcW w:w="12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1"/>
                <w:szCs w:val="11"/>
                <w:color w:val="auto"/>
              </w:rPr>
            </w:pPr>
          </w:p>
        </w:tc>
        <w:tc>
          <w:tcPr>
            <w:tcW w:w="1160" w:type="dxa"/>
            <w:vAlign w:val="bottom"/>
          </w:tcPr>
          <w:p>
            <w:pPr>
              <w:jc w:val="right"/>
              <w:ind w:right="31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34,778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100,622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lease right-of-use assets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0" w:type="dxa"/>
            <w:vAlign w:val="bottom"/>
          </w:tcPr>
          <w:p>
            <w:pPr>
              <w:spacing w:after="0"/>
              <w:rPr>
                <w:sz w:val="1"/>
                <w:szCs w:val="1"/>
                <w:color w:val="auto"/>
              </w:rPr>
            </w:pPr>
          </w:p>
        </w:tc>
      </w:tr>
      <w:tr>
        <w:trPr>
          <w:trHeight w:val="230"/>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Provision for bad debts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264,474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185,385</w:t>
            </w:r>
          </w:p>
        </w:tc>
        <w:tc>
          <w:tcPr>
            <w:tcW w:w="0" w:type="dxa"/>
            <w:vAlign w:val="bottom"/>
          </w:tcPr>
          <w:p>
            <w:pPr>
              <w:spacing w:after="0"/>
              <w:rPr>
                <w:sz w:val="1"/>
                <w:szCs w:val="1"/>
                <w:color w:val="auto"/>
              </w:rPr>
            </w:pPr>
          </w:p>
        </w:tc>
      </w:tr>
      <w:tr>
        <w:trPr>
          <w:trHeight w:val="229"/>
        </w:trPr>
        <w:tc>
          <w:tcPr>
            <w:tcW w:w="8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Other receivables and current assets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60,593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0" w:type="dxa"/>
            <w:vAlign w:val="bottom"/>
          </w:tcPr>
          <w:p>
            <w:pPr>
              <w:spacing w:after="0"/>
              <w:rPr>
                <w:sz w:val="1"/>
                <w:szCs w:val="1"/>
                <w:color w:val="auto"/>
              </w:rPr>
            </w:pPr>
          </w:p>
        </w:tc>
      </w:tr>
      <w:tr>
        <w:trPr>
          <w:trHeight w:val="230"/>
        </w:trPr>
        <w:tc>
          <w:tcPr>
            <w:tcW w:w="8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payable, accrued expenses and current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(147,636)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(135,365)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Accrued income taxes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230"/>
        </w:trPr>
        <w:tc>
          <w:tcPr>
            <w:tcW w:w="8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282,817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260,766</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(120,584)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(34,436)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(128,390)</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(196,494)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stock withholding taxes paid in lieu of issued shares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Proceeds from shares issued for stock-based compensation</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10,446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(54,643)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(240,828)</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fluctuations on cash and cash equivalents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190,308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860,201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614,391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1,050,509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507,689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paid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paid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11,939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consideration in connection with acquisitions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January 1, 2024</w:t>
      </w:r>
    </w:p>
    <w:p>
      <w:pPr>
        <w:spacing w:after="0" w:line="42" w:lineRule="exact"/>
        <w:rPr>
          <w:sz w:val="20"/>
          <w:szCs w:val="20"/>
          <w:color w:val="auto"/>
        </w:rPr>
      </w:pPr>
    </w:p>
    <w:p>
      <w:pPr>
        <w:ind w:left="100" w:right="80" w:hanging="80"/>
        <w:spacing w:after="0" w:line="251" w:lineRule="auto"/>
        <w:rPr>
          <w:sz w:val="20"/>
          <w:szCs w:val="20"/>
          <w:color w:val="auto"/>
        </w:rPr>
      </w:pPr>
      <w:r>
        <w:rPr>
          <w:rFonts w:ascii="Times New Roman" w:cs="Times New Roman" w:eastAsia="Times New Roman" w:hAnsi="Times New Roman"/>
          <w:sz w:val="14"/>
          <w:szCs w:val="14"/>
          <w:color w:val="auto"/>
        </w:rPr>
        <w:t>Acquisition activity of previously acquired businesses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 activity</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comprehensive loss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March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ANSYS, INC. AND SUBSIDIARIES</w:t>
      </w:r>
    </w:p>
    <w:p>
      <w:pPr>
        <w:spacing w:after="0" w:line="31"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0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940" w:type="dxa"/>
            <w:vAlign w:val="bottom"/>
            <w:gridSpan w:val="2"/>
            <w:vMerge w:val="restart"/>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100" w:type="dxa"/>
            <w:vAlign w:val="bottom"/>
            <w:gridSpan w:val="5"/>
            <w:vMerge w:val="continue"/>
          </w:tcPr>
          <w:p>
            <w:pPr>
              <w:spacing w:after="0"/>
              <w:rPr>
                <w:sz w:val="9"/>
                <w:szCs w:val="9"/>
                <w:color w:val="auto"/>
              </w:rPr>
            </w:pPr>
          </w:p>
        </w:tc>
        <w:tc>
          <w:tcPr>
            <w:tcW w:w="1420" w:type="dxa"/>
            <w:vAlign w:val="bottom"/>
            <w:gridSpan w:val="3"/>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9"/>
                <w:szCs w:val="9"/>
                <w:color w:val="auto"/>
              </w:rPr>
            </w:pPr>
          </w:p>
        </w:tc>
        <w:tc>
          <w:tcPr>
            <w:tcW w:w="1060" w:type="dxa"/>
            <w:vAlign w:val="bottom"/>
            <w:vMerge w:val="restart"/>
          </w:tcPr>
          <w:p>
            <w:pPr>
              <w:jc w:val="center"/>
              <w:ind w:right="68"/>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6"/>
                <w:szCs w:val="16"/>
                <w:color w:val="auto"/>
              </w:rPr>
            </w:pPr>
          </w:p>
        </w:tc>
        <w:tc>
          <w:tcPr>
            <w:tcW w:w="10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9"/>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95,267</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953</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1,670,450</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5,283,342</w:t>
            </w:r>
          </w:p>
        </w:tc>
        <w:tc>
          <w:tcPr>
            <w:tcW w:w="10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8,361</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(1,474,110)</w:t>
            </w:r>
          </w:p>
        </w:tc>
        <w:tc>
          <w:tcPr>
            <w:tcW w:w="120" w:type="dxa"/>
            <w:vAlign w:val="bottom"/>
          </w:tcPr>
          <w:p>
            <w:pPr>
              <w:spacing w:after="0"/>
              <w:rPr>
                <w:sz w:val="16"/>
                <w:szCs w:val="16"/>
                <w:color w:val="auto"/>
              </w:rPr>
            </w:pP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(90,271)</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5,390,364</w:t>
            </w:r>
          </w:p>
        </w:tc>
        <w:tc>
          <w:tcPr>
            <w:tcW w:w="0" w:type="dxa"/>
            <w:vAlign w:val="bottom"/>
          </w:tcPr>
          <w:p>
            <w:pPr>
              <w:spacing w:after="0"/>
              <w:rPr>
                <w:sz w:val="1"/>
                <w:szCs w:val="1"/>
                <w:color w:val="auto"/>
              </w:rPr>
            </w:pPr>
          </w:p>
        </w:tc>
      </w:tr>
      <w:tr>
        <w:trPr>
          <w:trHeight w:val="326"/>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2,537</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(30,455)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34,443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3,988</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(22,024)</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34,778</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34,778</w:t>
            </w: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95,267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1,641,813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5,318,120</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7,971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(1,438,948)</w:t>
            </w:r>
          </w:p>
        </w:tc>
        <w:tc>
          <w:tcPr>
            <w:tcW w:w="120" w:type="dxa"/>
            <w:vAlign w:val="bottom"/>
          </w:tcPr>
          <w:p>
            <w:pPr>
              <w:spacing w:after="0"/>
              <w:rPr>
                <w:sz w:val="16"/>
                <w:szCs w:val="16"/>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(112,295)</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5,409,643</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-908050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-556895</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-299720</wp:posOffset>
            </wp:positionV>
            <wp:extent cx="71323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240"/>
            <w:col w:w="8960"/>
          </w:cols>
          <w:pgMar w:left="320" w:top="121" w:right="339" w:bottom="1440" w:gutter="0" w:footer="0" w:header="0"/>
          <w:type w:val="continuous"/>
        </w:sectPr>
      </w:pP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08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280" w:type="dxa"/>
            <w:vAlign w:val="bottom"/>
          </w:tcPr>
          <w:p>
            <w:pPr>
              <w:spacing w:after="0"/>
              <w:rPr>
                <w:sz w:val="9"/>
                <w:szCs w:val="9"/>
                <w:color w:val="auto"/>
              </w:rPr>
            </w:pPr>
          </w:p>
        </w:tc>
        <w:tc>
          <w:tcPr>
            <w:tcW w:w="20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94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1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1060" w:type="dxa"/>
            <w:vAlign w:val="bottom"/>
            <w:vMerge w:val="restart"/>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80" w:type="dxa"/>
            <w:vAlign w:val="bottom"/>
            <w:vMerge w:val="continue"/>
          </w:tcPr>
          <w:p>
            <w:pPr>
              <w:spacing w:after="0"/>
              <w:rPr>
                <w:sz w:val="16"/>
                <w:szCs w:val="16"/>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Pr>
          <w:p>
            <w:pPr>
              <w:spacing w:after="0"/>
              <w:rPr>
                <w:sz w:val="16"/>
                <w:szCs w:val="16"/>
                <w:color w:val="auto"/>
              </w:rPr>
            </w:pPr>
          </w:p>
        </w:tc>
        <w:tc>
          <w:tcPr>
            <w:tcW w:w="10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January 1,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95,267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1,540,317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4,782,930</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(1,335,627)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(122,722)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4,865,851</w:t>
            </w: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Treasury shares acquired, including</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(197,416)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(197,416)</w:t>
            </w:r>
          </w:p>
        </w:tc>
        <w:tc>
          <w:tcPr>
            <w:tcW w:w="0" w:type="dxa"/>
            <w:vAlign w:val="bottom"/>
          </w:tcPr>
          <w:p>
            <w:pPr>
              <w:spacing w:after="0"/>
              <w:rPr>
                <w:sz w:val="1"/>
                <w:szCs w:val="1"/>
                <w:color w:val="auto"/>
              </w:rPr>
            </w:pPr>
          </w:p>
        </w:tc>
      </w:tr>
      <w:tr>
        <w:trPr>
          <w:trHeight w:val="195"/>
        </w:trPr>
        <w:tc>
          <w:tcPr>
            <w:tcW w:w="2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excise tax</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activity</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13,284</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100,622</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100,622</w:t>
            </w:r>
          </w:p>
        </w:tc>
        <w:tc>
          <w:tcPr>
            <w:tcW w:w="0" w:type="dxa"/>
            <w:vAlign w:val="bottom"/>
          </w:tcPr>
          <w:p>
            <w:pPr>
              <w:spacing w:after="0"/>
              <w:rPr>
                <w:sz w:val="1"/>
                <w:szCs w:val="1"/>
                <w:color w:val="auto"/>
              </w:rPr>
            </w:pPr>
          </w:p>
        </w:tc>
      </w:tr>
      <w:tr>
        <w:trPr>
          <w:trHeight w:val="203"/>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95,267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1,505,788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4,883,552</w:t>
            </w:r>
          </w:p>
        </w:tc>
        <w:tc>
          <w:tcPr>
            <w:tcW w:w="100" w:type="dxa"/>
            <w:vAlign w:val="bottom"/>
          </w:tcPr>
          <w:p>
            <w:pPr>
              <w:spacing w:after="0"/>
              <w:rPr>
                <w:sz w:val="17"/>
                <w:szCs w:val="17"/>
                <w:color w:val="auto"/>
              </w:rPr>
            </w:pPr>
          </w:p>
        </w:tc>
        <w:tc>
          <w:tcPr>
            <w:tcW w:w="9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8,611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(1,498,693)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(109,438)</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4,782,162</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ANSYS, INC.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ANSYS, Inc. (Ansys, we, us, our) develops and globally markets engineering simulation software and services widely used by engineers, designers, researchers and students across a broad spectrum of industries and academia, including high-tech, aerospace and defense, automotive, energy, industrial equipment, materials and chemicals, consumer products, healthcare and construction.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defined by the accounting guidance for segment reporting, we operate as one segment.</w:t>
      </w:r>
    </w:p>
    <w:p>
      <w:pPr>
        <w:spacing w:after="0" w:line="171"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Given the integrated approach to the multi-discipline problem-solving needs of our customers, a single sale may contain components from multiple product areas and include combined technologies. We also have a multi-year product and integration strategy that will result in new, combined products or changes to the historical product offerings. As a result, it is impracticable for us to provide accurate historical or current reporting among our various product lines.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Acquisition</w:t>
      </w:r>
    </w:p>
    <w:p>
      <w:pPr>
        <w:spacing w:after="0" w:line="17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On January 15, 2024, we entered into an Agreement and Plan of Merger (the Merger Agreement) with Synopsys, Inc., a Delaware corporation (Synopsys), and ALTA Acquisition Corp., a Delaware corporation and wholly owned subsidiary of Synopsys (Merger Sub), under which Synopsys will acquire Ansys. The transaction is anticipated to close in the first half of 2025, subject to approval by Ansys stockholders, the receipt of required regulatory approvals and other customary closing conditions.</w:t>
      </w:r>
    </w:p>
    <w:p>
      <w:pPr>
        <w:spacing w:after="0" w:line="200" w:lineRule="exact"/>
        <w:rPr>
          <w:sz w:val="20"/>
          <w:szCs w:val="20"/>
          <w:color w:val="auto"/>
        </w:rPr>
      </w:pPr>
    </w:p>
    <w:p>
      <w:pPr>
        <w:spacing w:after="0" w:line="259" w:lineRule="exact"/>
        <w:rPr>
          <w:sz w:val="20"/>
          <w:szCs w:val="20"/>
          <w:color w:val="auto"/>
        </w:rPr>
      </w:pPr>
    </w:p>
    <w:p>
      <w:pPr>
        <w:ind w:right="9380" w:firstLine="8"/>
        <w:spacing w:after="0" w:line="440" w:lineRule="auto"/>
        <w:tabs>
          <w:tab w:leader="none" w:pos="3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Policies Basis of Presentation</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for commercial and industrial companies, the instructions to Form 10-Q and Rule 10-01 of Regulation S-X. Accordingly, the accompanying unaudited condensed consolidated financial statements do not include all of the information and footnotes required by accounting principles generally accepted in the United States for complete financial statements. The accompanying unaudited condensed consolidated financial statements should be read in conjunction with our audited consolidated financial statements (and notes thereto) included in our Annual Report on Form 10-K for the year ended December 31, 2023 (2023 Form 10-K). The condensed consolidated December 31, 2023 balance sheet presented is derived from the audited December 31, 2023 balance sheet included in the 2023 Form 10-K. In our opinion, all adjustments considered necessary for a fair presentation of the financial statements have been included, and all adjustments are of a normal and recurring nature. Operating results for the three months ended March 31, 2024 are not necessarily indicative of the results that may be expected for any future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Guidance Issued and Not Yet Adopted</w:t>
      </w:r>
    </w:p>
    <w:p>
      <w:pPr>
        <w:spacing w:after="0" w:line="171"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reporting: </w:t>
      </w:r>
      <w:r>
        <w:rPr>
          <w:rFonts w:ascii="Times New Roman" w:cs="Times New Roman" w:eastAsia="Times New Roman" w:hAnsi="Times New Roman"/>
          <w:sz w:val="18"/>
          <w:szCs w:val="18"/>
          <w:color w:val="auto"/>
        </w:rPr>
        <w:t>In November 2023, the FASB issued ASU No. 2023-07,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(Topic 280):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Improvements to Reportable Segment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2023-07). ASU 2023-07 requires enhanced disclosures related to segment information, including for entities with one reportable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It does not change the determination of reportable segments. The enhanced disclosures in accordance with the new guidance are required to be reported in the annual period beginning after December 15, 2023. Early adoption is permitted. The standard only impacts footnote disclosures.</w:t>
      </w:r>
    </w:p>
    <w:p>
      <w:pPr>
        <w:spacing w:after="0" w:line="12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disclosures: </w:t>
      </w:r>
      <w:r>
        <w:rPr>
          <w:rFonts w:ascii="Times New Roman" w:cs="Times New Roman" w:eastAsia="Times New Roman" w:hAnsi="Times New Roman"/>
          <w:sz w:val="18"/>
          <w:szCs w:val="18"/>
          <w:color w:val="auto"/>
        </w:rPr>
        <w:t>In December 2023, the FASB issued ASU No. 2023-09,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(Topic 740):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(ASU 2023-09). ASU 2023-09 requires disclosure of greater disaggregation of information in the rate reconciliation and income taxes paid disaggregated by jurisdiction. It also includes certain other amendments to improve the effectiveness of income tax disclosures. The standard is effective for annual periods beginning after December 15, 2024. Early adoption is permitted. The standard only impacts footnote disclosures.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Short-Term Investments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primarily of highly liquid investments such as deposits held at major banks and money market funds. Cash equivalents are carried at cost, which approximates fair value. Our money market fund balances are held in various funds of a single issuer at March 31, 2024.</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Short-term investments consist of available-for-sale debt securities with remaining maturities greater than three months at the date of purchase and time deposits. Investments in debt securities with remaining maturities greater than three months at the date of purchase are designated as short-term available-for-sale securities, as we may convert these investments into cash at any time, including to fund general operations. We invest in debt securities that have an effective maturity term of less than three years. The debt securities are carried at fair value, with unrealized gains and losses included in the condensed consolidated balance sheets as a component of accumulated other comprehensive (loss) income. For available-for-sale debt securities in an unrealized loss position, we evaluate whether a current expected credit loss exists based on available information relevant to the credit rating of the security, current economic conditions and reasonable and supportable forecasts. The allowance for any credit loss will be recorded in other expense, net, on the condensed consolidated statements of income, not to exceed the amount of the unrealized loss. Any excess unrealized loss other than the credit loss is generally recognized in accumulated other comprehensive loss. The cost of securities sold is based on the specific identification method and realized gains and losses are included in other expense, net. To date, we have not recorded any credit loss or realized gains or losses.</w:t>
      </w:r>
    </w:p>
    <w:p>
      <w:pPr>
        <w:spacing w:after="0" w:line="200" w:lineRule="exact"/>
        <w:rPr>
          <w:sz w:val="20"/>
          <w:szCs w:val="20"/>
          <w:color w:val="auto"/>
        </w:rPr>
      </w:pPr>
    </w:p>
    <w:p>
      <w:pPr>
        <w:spacing w:after="0" w:line="260" w:lineRule="exact"/>
        <w:rPr>
          <w:sz w:val="20"/>
          <w:szCs w:val="20"/>
          <w:color w:val="auto"/>
        </w:rPr>
      </w:pPr>
    </w:p>
    <w:p>
      <w:pPr>
        <w:ind w:right="7740" w:firstLine="8"/>
        <w:spacing w:after="0" w:line="440" w:lineRule="auto"/>
        <w:tabs>
          <w:tab w:leader="none" w:pos="3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Disaggregation of Revenue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280" w:type="dxa"/>
            <w:vAlign w:val="bottom"/>
          </w:tcPr>
          <w:p>
            <w:pPr>
              <w:spacing w:after="0"/>
              <w:rPr>
                <w:sz w:val="11"/>
                <w:szCs w:val="11"/>
                <w:color w:val="auto"/>
              </w:rPr>
            </w:pPr>
          </w:p>
        </w:tc>
        <w:tc>
          <w:tcPr>
            <w:tcW w:w="130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1"/>
                <w:szCs w:val="11"/>
                <w:color w:val="auto"/>
              </w:rPr>
            </w:pPr>
          </w:p>
        </w:tc>
        <w:tc>
          <w:tcPr>
            <w:tcW w:w="1200" w:type="dxa"/>
            <w:vAlign w:val="bottom"/>
          </w:tcPr>
          <w:p>
            <w:pPr>
              <w:jc w:val="right"/>
              <w:ind w:right="333"/>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lease licenses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94,800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147,922</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Perpetual licenses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65,521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71,230</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Software licenses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160,321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219,152</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289,340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268,593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16,944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21,702</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Maintenance and service</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306,284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290,295</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466,605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509,447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revenue, as a percentage of total revenue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76.3 %</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revenue, as a percentage of total revenue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software license revenue is recognized up front, while maintenance and service revenue is recognized over the term of the contract.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2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Deferred revenue consists of billings made or payments received in advance of revenue recognition from customer agreements. The timing of revenue recognition may differ from the timing of billings to customers. Payment terms vary by the type and location of customer and the products or services offered. The time between invoicing and when payment is due is not significant.</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changes in deferred revenue, inclusive of both current and long-term deferred revenue, during the three months ended March 31, 2024 and 2023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 January 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479,754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435,758</w:t>
            </w:r>
          </w:p>
        </w:tc>
        <w:tc>
          <w:tcPr>
            <w:tcW w:w="20" w:type="dxa"/>
            <w:vAlign w:val="bottom"/>
            <w:shd w:val="clear" w:color="auto" w:fill="CCEEFF"/>
          </w:tcPr>
          <w:p>
            <w:pPr>
              <w:spacing w:after="0"/>
              <w:rPr>
                <w:sz w:val="19"/>
                <w:szCs w:val="19"/>
                <w:color w:val="auto"/>
              </w:rPr>
            </w:pP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Acquired deferred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20" w:type="dxa"/>
            <w:vAlign w:val="bottom"/>
          </w:tcPr>
          <w:p>
            <w:pPr>
              <w:spacing w:after="0"/>
              <w:rPr>
                <w:sz w:val="19"/>
                <w:szCs w:val="19"/>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Deferral of 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448,381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483,502</w:t>
            </w:r>
          </w:p>
        </w:tc>
        <w:tc>
          <w:tcPr>
            <w:tcW w:w="20" w:type="dxa"/>
            <w:vAlign w:val="bottom"/>
            <w:shd w:val="clear" w:color="auto" w:fill="CCEEFF"/>
          </w:tcPr>
          <w:p>
            <w:pPr>
              <w:spacing w:after="0"/>
              <w:rPr>
                <w:sz w:val="19"/>
                <w:szCs w:val="19"/>
                <w:color w:val="auto"/>
              </w:rPr>
            </w:pPr>
          </w:p>
        </w:tc>
      </w:tr>
      <w:tr>
        <w:trPr>
          <w:trHeight w:val="23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Recognition of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(466,605)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(509,447)</w:t>
            </w:r>
          </w:p>
        </w:tc>
      </w:tr>
      <w:tr>
        <w:trPr>
          <w:trHeight w:val="22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 – March 31</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454,601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417,069</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34"/>
        </w:trPr>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revenue allocated to remaining performance obligations as of March 31, 2024 will be recognized as revenue as follows: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8"/>
        </w:trPr>
        <w:tc>
          <w:tcPr>
            <w:tcW w:w="40" w:type="dxa"/>
            <w:vAlign w:val="bottom"/>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40" w:type="dxa"/>
            <w:vAlign w:val="bottom"/>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Next 12 months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866,273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Months 13-24</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333,293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Months 25-36</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125,623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44,264</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 allocated to remaining performance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1,369,453</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Revenue allocated to remaining performance obligations represents contracted revenue that has not yet been recognized, which includes both deferred revenue and backlog. Our backlog represents deferred revenue associated with installment billings for periods beyond the current quarterly billing cycle and committed contracts with start dates beyond the end of the current period. Revenue recognized during the three months ended March 31, 2024 and 2023 included amounts in deferred revenue and backlog at the beginning of the period of $292.8 million and $317.6 million, respectively.</w:t>
      </w:r>
    </w:p>
    <w:p>
      <w:pPr>
        <w:spacing w:after="0" w:line="36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we incurred acquisition-related expenses of $14.3 million, primarily consisting of costs related to the Merger Agreement with Synopsys. Acquisition-related expenses are recognized as selling, general and administrative and research and development expenses on the condensed consolidated statements of income.</w:t>
      </w:r>
    </w:p>
    <w:p>
      <w:pPr>
        <w:spacing w:after="0" w:line="12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On December 5, 2023, we entered into an agreement to make a strategic equity investment. The investment is subject to regulatory approvals and customary closing conditions and is expected to close in 2024 for a purchase price of $300.0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Acquisitions</w:t>
      </w:r>
    </w:p>
    <w:p>
      <w:pPr>
        <w:spacing w:after="0" w:line="17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January 3, 2023, we completed the acquisition of DYNAmore for a purchase price of $140.8 million, or $128.0 million net of cash acquired. The acquisition expanded our position as a simulation solution provider within the automotive industry. The effects of the acquisition were not material to our condensed consolidated results of operations.</w:t>
      </w:r>
    </w:p>
    <w:p>
      <w:pPr>
        <w:spacing w:after="0" w:line="6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Additionally, during the year ended December 31, 2023, we completed other acquisitions to expand our solution offerings and enhance our customers' experience. These acquisitions were not significant, individually or in the aggregate. The combined purchase price of these acquisitions during the year ended December 31, 2023 was approximately $94.4 million, or $88.3 million net of cash acquired.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each acquisition have been included in our condensed consolidated financial statements since each respective date of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the acquisitions were not material to our condensed consolidated results of operations.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Receivables and Current Assets and Other Accrued Expenses and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other receivables and current assets and other accrued expenses and liabilities comprise the following balances: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related to unrecognized 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149,487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253,646</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receivable, including overpayments and refunds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48,901</w:t>
            </w:r>
          </w:p>
        </w:tc>
        <w:tc>
          <w:tcPr>
            <w:tcW w:w="0" w:type="dxa"/>
            <w:vAlign w:val="bottom"/>
          </w:tcPr>
          <w:p>
            <w:pPr>
              <w:spacing w:after="0"/>
              <w:rPr>
                <w:sz w:val="1"/>
                <w:szCs w:val="1"/>
                <w:color w:val="auto"/>
              </w:rPr>
            </w:pPr>
          </w:p>
        </w:tc>
      </w:tr>
      <w:tr>
        <w:trPr>
          <w:trHeight w:val="22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receivables and current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260,518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324,651</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Payroll-related accruals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106,034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148,198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accrued expenses and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187,722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215,645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Receivables related to unrecognized revenue represent the current portion of billings made for customer contracts that have not yet been recognized as revenue.</w:t>
      </w:r>
    </w:p>
    <w:p>
      <w:pPr>
        <w:spacing w:after="0" w:line="347"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Basic earnings per share (EPS) amounts are computed by dividing earnings by the weighted average number of common shares outstanding during the period. Diluted EPS amounts assume the issuance of common stock for all potentially dilutive equivalents outstanding. To the extent stock awards are anti-dilutive, they are excluded from the calculation of diluted EPS.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basic and diluted EPS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260" w:type="dxa"/>
            <w:vAlign w:val="bottom"/>
          </w:tcPr>
          <w:p>
            <w:pPr>
              <w:spacing w:after="0"/>
              <w:rPr>
                <w:sz w:val="11"/>
                <w:szCs w:val="11"/>
                <w:color w:val="auto"/>
              </w:rPr>
            </w:pPr>
          </w:p>
        </w:tc>
        <w:tc>
          <w:tcPr>
            <w:tcW w:w="126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1"/>
                <w:szCs w:val="11"/>
                <w:color w:val="auto"/>
              </w:rPr>
            </w:pPr>
          </w:p>
        </w:tc>
        <w:tc>
          <w:tcPr>
            <w:tcW w:w="1160" w:type="dxa"/>
            <w:vAlign w:val="bottom"/>
          </w:tcPr>
          <w:p>
            <w:pPr>
              <w:jc w:val="right"/>
              <w:ind w:right="294"/>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82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87,067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86,930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stock plans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87,780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87,431</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shares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classified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230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138"/>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980" w:type="dxa"/>
            <w:vAlign w:val="bottom"/>
          </w:tcPr>
          <w:p>
            <w:pPr>
              <w:jc w:val="center"/>
              <w:ind w:right="138"/>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98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9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6"/>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Developed software and core technologies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1,147,238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(576,985)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(557,359)</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lists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286,269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(94,724)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(89,800)</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189,767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(145,547)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(143,880)</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1,623,274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(817,256)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1,626,099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(791,039)</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Finite-lived intangible assets are amortized over their estimated useful lives of two years to seventeen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estimated future amortization expense for the intangible assets reflected above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83,630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115,308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116,148</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119,371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112,994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99,177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159,390</w:t>
            </w:r>
          </w:p>
        </w:tc>
        <w:tc>
          <w:tcPr>
            <w:tcW w:w="0" w:type="dxa"/>
            <w:vAlign w:val="bottom"/>
          </w:tcPr>
          <w:p>
            <w:pPr>
              <w:spacing w:after="0"/>
              <w:rPr>
                <w:sz w:val="1"/>
                <w:szCs w:val="1"/>
                <w:color w:val="auto"/>
              </w:rPr>
            </w:pPr>
          </w:p>
        </w:tc>
      </w:tr>
      <w:tr>
        <w:trPr>
          <w:trHeight w:val="22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806,018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trade name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0" w:type="dxa"/>
            <w:vAlign w:val="bottom"/>
          </w:tcPr>
          <w:p>
            <w:pPr>
              <w:spacing w:after="0"/>
              <w:rPr>
                <w:sz w:val="1"/>
                <w:szCs w:val="1"/>
                <w:color w:val="auto"/>
              </w:rPr>
            </w:pPr>
          </w:p>
        </w:tc>
      </w:tr>
      <w:tr>
        <w:trPr>
          <w:trHeight w:val="22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806,375</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changes in goodwill during the three months ended March 31, 2024 and 2023 were as follows:</w:t>
            </w: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24"/>
                <w:szCs w:val="24"/>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 January 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3,805,874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3,658,267</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Acquisitions and adjustments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 March 31</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3,797,859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3,737,195</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firstLine="8"/>
        <w:spacing w:after="0" w:line="249" w:lineRule="auto"/>
        <w:tabs>
          <w:tab w:leader="none" w:pos="181"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accordance with the accounting for business combinations, we recorded adjustments to goodwill for the effect of changes in the provisional fair values of the assets acquired and liabilities assumed during the measurement period (up to one year from the acquisition date) as we obtained new information about facts and circumstances that existed as of the acquisition date that, if known, would have effected the measurement of the amounts recognized as of that date.</w:t>
      </w:r>
    </w:p>
    <w:p>
      <w:pPr>
        <w:spacing w:after="0" w:line="35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we completed the annual impairment test for goodwill and the indefinite-lived intangible asset and determined that these assets had not been impaired as of the test date, January 1, 2024. No events or circumstances changed during the three months ended March 31, 2024 that would indicate that the fair values of our reporting unit and indefinite-lived intangible asset are below their carrying amounts.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Equivalents and Short-Term Investments</w:t>
      </w:r>
    </w:p>
    <w:p>
      <w:pPr>
        <w:spacing w:after="0" w:line="216"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we invested in available-for-sale debt securities, which are included in short-term investments in the condensed consolidated balance sheets. As of March 31, 2024, our cash equivalents and short-term investments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3"/>
                <w:szCs w:val="13"/>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80" w:type="dxa"/>
            <w:vAlign w:val="bottom"/>
          </w:tcPr>
          <w:p>
            <w:pPr>
              <w:spacing w:after="0"/>
              <w:rPr>
                <w:sz w:val="13"/>
                <w:szCs w:val="13"/>
                <w:color w:val="auto"/>
              </w:rPr>
            </w:pPr>
          </w:p>
        </w:tc>
        <w:tc>
          <w:tcPr>
            <w:tcW w:w="126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46"/>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2"/>
                <w:szCs w:val="12"/>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Losses Less Than 12</w:t>
            </w: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Continuous Months</w:t>
            </w:r>
          </w:p>
        </w:tc>
        <w:tc>
          <w:tcPr>
            <w:tcW w:w="180" w:type="dxa"/>
            <w:vAlign w:val="bottom"/>
          </w:tcPr>
          <w:p>
            <w:pPr>
              <w:spacing w:after="0"/>
              <w:rPr>
                <w:sz w:val="17"/>
                <w:szCs w:val="17"/>
                <w:color w:val="auto"/>
              </w:rPr>
            </w:pPr>
          </w:p>
        </w:tc>
        <w:tc>
          <w:tcPr>
            <w:tcW w:w="1260" w:type="dxa"/>
            <w:vAlign w:val="bottom"/>
          </w:tcPr>
          <w:p>
            <w:pPr>
              <w:jc w:val="right"/>
              <w:ind w:right="414"/>
              <w:spacing w:after="0" w:line="202"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294,440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center"/>
              <w:ind w:left="814"/>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294,440</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294,440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center"/>
              <w:ind w:left="934"/>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294,440</w:t>
            </w: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94"/>
              <w:spacing w:after="0"/>
              <w:rPr>
                <w:sz w:val="20"/>
                <w:szCs w:val="20"/>
                <w:color w:val="auto"/>
              </w:rPr>
            </w:pPr>
            <w:r>
              <w:rPr>
                <w:rFonts w:ascii="Times New Roman" w:cs="Times New Roman" w:eastAsia="Times New Roman" w:hAnsi="Times New Roman"/>
                <w:sz w:val="18"/>
                <w:szCs w:val="18"/>
                <w:b w:val="1"/>
                <w:bCs w:val="1"/>
                <w:color w:val="auto"/>
                <w:w w:val="99"/>
              </w:rPr>
              <w:t>(59)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14,988</w:t>
            </w: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320" w:type="dxa"/>
            <w:vAlign w:val="bottom"/>
          </w:tcPr>
          <w:p>
            <w:pPr>
              <w:jc w:val="center"/>
              <w:ind w:left="894"/>
              <w:spacing w:after="0"/>
              <w:rPr>
                <w:sz w:val="20"/>
                <w:szCs w:val="20"/>
                <w:color w:val="auto"/>
              </w:rPr>
            </w:pPr>
            <w:r>
              <w:rPr>
                <w:rFonts w:ascii="Times New Roman" w:cs="Times New Roman" w:eastAsia="Times New Roman" w:hAnsi="Times New Roman"/>
                <w:sz w:val="18"/>
                <w:szCs w:val="18"/>
                <w:b w:val="1"/>
                <w:bCs w:val="1"/>
                <w:color w:val="auto"/>
                <w:w w:val="99"/>
              </w:rPr>
              <w:t>(19)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4,924</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short-term investments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14"/>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20,177</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center"/>
              <w:ind w:left="894"/>
              <w:spacing w:after="0"/>
              <w:rPr>
                <w:sz w:val="20"/>
                <w:szCs w:val="20"/>
                <w:color w:val="auto"/>
              </w:rPr>
            </w:pPr>
            <w:r>
              <w:rPr>
                <w:rFonts w:ascii="Times New Roman" w:cs="Times New Roman" w:eastAsia="Times New Roman" w:hAnsi="Times New Roman"/>
                <w:sz w:val="18"/>
                <w:szCs w:val="18"/>
                <w:b w:val="1"/>
                <w:bCs w:val="1"/>
                <w:color w:val="auto"/>
                <w:w w:val="99"/>
              </w:rPr>
              <w:t>(78)</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20,100</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 and 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314,617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center"/>
              <w:ind w:left="894"/>
              <w:spacing w:after="0"/>
              <w:rPr>
                <w:sz w:val="20"/>
                <w:szCs w:val="20"/>
                <w:color w:val="auto"/>
              </w:rPr>
            </w:pPr>
            <w:r>
              <w:rPr>
                <w:rFonts w:ascii="Times New Roman" w:cs="Times New Roman" w:eastAsia="Times New Roman" w:hAnsi="Times New Roman"/>
                <w:sz w:val="18"/>
                <w:szCs w:val="18"/>
                <w:b w:val="1"/>
                <w:bCs w:val="1"/>
                <w:color w:val="auto"/>
                <w:w w:val="99"/>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314,540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Note 9, "Fair Value Measurements" for further discussion on fair values.</w:t>
      </w:r>
    </w:p>
    <w:p>
      <w:pPr>
        <w:spacing w:after="0" w:line="13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Of the $15.0 million corporate debt securities, $13.8 million are in a loss position at March 31, 2024. Of the $4.9 million municipal bonds, $4.5 million are in a loss position at March 31, 2024.</w:t>
      </w:r>
    </w:p>
    <w:p>
      <w:pPr>
        <w:spacing w:after="0" w:line="1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unrealized losses presented above are primarily attributable to changes in interest rates. We believe that we have the ability to realize the full value of all of these investments upon maturity.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maturities of our available-for-sale debt securities as of March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6"/>
                <w:szCs w:val="16"/>
                <w:color w:val="auto"/>
              </w:rPr>
            </w:pPr>
          </w:p>
        </w:tc>
        <w:tc>
          <w:tcPr>
            <w:tcW w:w="12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336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1 year</w:t>
            </w:r>
          </w:p>
        </w:tc>
        <w:tc>
          <w:tcPr>
            <w:tcW w:w="48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4,226</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1-3 years</w:t>
            </w:r>
          </w:p>
        </w:tc>
        <w:tc>
          <w:tcPr>
            <w:tcW w:w="48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15,686</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19,912</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336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valuation hierarchy for disclosure of assets and liabilities reported at fair value prioritizes the inputs for such valuations into three broad levels:</w:t>
      </w:r>
    </w:p>
    <w:p>
      <w:pPr>
        <w:spacing w:after="0" w:line="17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660" w:right="34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for similar assets and liabilities in active markets or inputs that are observable for the asset or liability, either directly or indirectly through market corroboration, for substantially the full term of the financial instrument; 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our own assumptions used to measure assets and liabilities at fair value.</w:t>
      </w:r>
    </w:p>
    <w:p>
      <w:pPr>
        <w:spacing w:after="0" w:line="17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 financial asset's or liability's classification within the hierarchy is determined based on the lowest level input that is significant to the fair value measurement.</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debt is classified within Level 2 of the fair value hierarchy because these borrowings are not actively traded and have a variable interest rate structure based upon market rates. The carrying amount of our debt approximates the estimated fair value. See Note 11, "Debt", for additional information on our borrowings.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the assets carried at fair value and measured on a recurring basis: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60" w:type="dxa"/>
            <w:vAlign w:val="bottom"/>
            <w:gridSpan w:val="11"/>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3"/>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158"/>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4960" w:type="dxa"/>
            <w:vAlign w:val="bottom"/>
            <w:tcBorders>
              <w:top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4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294,440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294,440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6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6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9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920" w:type="dxa"/>
            <w:vAlign w:val="bottom"/>
            <w:gridSpan w:val="3"/>
            <w:vMerge w:val="continue"/>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4,924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4,924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tcPr>
          <w:p>
            <w:pPr>
              <w:ind w:left="100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short-term investments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vMerge w:val="restart"/>
          </w:tcPr>
          <w:p>
            <w:pPr>
              <w:spacing w:after="0" w:line="20" w:lineRule="exact"/>
              <w:rPr>
                <w:sz w:val="1"/>
                <w:szCs w:val="1"/>
                <w:color w:val="auto"/>
              </w:rPr>
            </w:pPr>
          </w:p>
        </w:tc>
        <w:tc>
          <w:tcPr>
            <w:tcW w:w="4960" w:type="dxa"/>
            <w:vAlign w:val="bottom"/>
            <w:tcBorders>
              <w:top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top w:val="single" w:sz="8" w:color="CCEEFF"/>
            </w:tcBorders>
            <w:vMerge w:val="continue"/>
          </w:tcPr>
          <w:p>
            <w:pPr>
              <w:spacing w:after="0"/>
              <w:rPr>
                <w:sz w:val="17"/>
                <w:szCs w:val="17"/>
                <w:color w:val="auto"/>
              </w:rPr>
            </w:pPr>
          </w:p>
        </w:tc>
        <w:tc>
          <w:tcPr>
            <w:tcW w:w="4960" w:type="dxa"/>
            <w:vAlign w:val="bottom"/>
            <w:tcBorders>
              <w:top w:val="single" w:sz="8" w:color="CCEEFF"/>
            </w:tcBorders>
            <w:gridSpan w:val="4"/>
            <w:vMerge w:val="continue"/>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2,370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2,370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tcPr>
          <w:p>
            <w:pPr>
              <w:ind w:left="100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60" w:type="dxa"/>
            <w:vAlign w:val="bottom"/>
            <w:gridSpan w:val="11"/>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2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 w:type="dxa"/>
            <w:vAlign w:val="bottom"/>
            <w:tcBorders>
              <w:right w:val="single" w:sz="8" w:color="CCEEFF"/>
            </w:tcBorders>
          </w:tcPr>
          <w:p>
            <w:pPr>
              <w:spacing w:after="0"/>
              <w:rPr>
                <w:sz w:val="15"/>
                <w:szCs w:val="15"/>
                <w:color w:val="auto"/>
              </w:rPr>
            </w:pPr>
          </w:p>
        </w:tc>
        <w:tc>
          <w:tcPr>
            <w:tcW w:w="4920" w:type="dxa"/>
            <w:vAlign w:val="bottom"/>
            <w:tcBorders>
              <w:top w:val="single" w:sz="8" w:color="CCEEFF"/>
            </w:tcBorders>
            <w:gridSpan w:val="3"/>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Assets (Liabilities)</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Borders>
              <w:right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 w:type="dxa"/>
            <w:vAlign w:val="bottom"/>
            <w:tcBorders>
              <w:right w:val="single" w:sz="8" w:color="CCEEFF"/>
            </w:tcBorders>
          </w:tcPr>
          <w:p>
            <w:pPr>
              <w:spacing w:after="0"/>
              <w:rPr>
                <w:sz w:val="21"/>
                <w:szCs w:val="21"/>
                <w:color w:val="auto"/>
              </w:rPr>
            </w:pPr>
          </w:p>
        </w:tc>
        <w:tc>
          <w:tcPr>
            <w:tcW w:w="4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170,821</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170,821</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9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 w:type="dxa"/>
            <w:vAlign w:val="bottom"/>
            <w:tcBorders>
              <w:right w:val="single" w:sz="8" w:color="CCEEFF"/>
            </w:tcBorders>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short-term investments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2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2,337</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2,337</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10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40" w:type="dxa"/>
            <w:vAlign w:val="bottom"/>
            <w:tcBorders>
              <w:right w:val="single" w:sz="8" w:color="CCEEFF"/>
            </w:tcBorders>
          </w:tcPr>
          <w:p>
            <w:pPr>
              <w:spacing w:after="0"/>
              <w:rPr>
                <w:sz w:val="21"/>
                <w:szCs w:val="21"/>
                <w:color w:val="auto"/>
              </w:rPr>
            </w:pPr>
          </w:p>
        </w:tc>
        <w:tc>
          <w:tcPr>
            <w:tcW w:w="4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2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Forward contracts</w:t>
            </w:r>
          </w:p>
        </w:tc>
        <w:tc>
          <w:tcPr>
            <w:tcW w:w="16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tcBorders>
            <w:gridSpan w:val="3"/>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20" w:type="dxa"/>
            <w:vAlign w:val="bottom"/>
            <w:tcBorders>
              <w:top w:val="single" w:sz="8" w:color="CCEEFF"/>
            </w:tcBorders>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(412)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(412)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10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cash equivalents in the preceding tables represent money market funds, valued at net asset value, with carrying values which approximate their fair values because of their short-term nature.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short-term investments in the preceding tables represent available-for-sale debt securities and time deposits.</w:t>
      </w:r>
    </w:p>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deferred compensation plan investments in the preceding tables represent trading securities held in a rabbi trust for the benefit of non-employee directors. These securities consist of mutual funds traded in an active market with quoted prices. As a result, the plan assets are classified as Level 1 in the fair value hierarchy. The plan assets are recorded within other long-term assets on our condensed consolidated balance sheets.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equity securities represent our investment in a publicly traded company. These securities are traded in an active market with quoted prices. As a result, the securities are classified as Level 1 in the fair value hierarchy. The securities are recorded within other long-term assets on our condensed consolidated balance sheets.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forward contracts represent currency hedges to mitigate exchange rate exposure. These contracts are classified within Level 2 because these contracts are not actively traded and the valuation inputs are based on quoted prices and market observable data of similar instruments. The liabilities associated with the forward contracts are recorded at fair value in other accrued expenses and liabilities in our condensed consolidated balance sheets.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right-of-use assets and lease liabilities primarily include operating leases for office space. Our executive offices and those related to certain domestic product development, marketing, production and administration are located in a 186,000 square foot office facility in Canonsburg, Pennsylvania. The term of the lease is 183 months, which began on October 1, 2014 and expires on December 31, 2029. The lease agreement includes options to renew the contract through August 2044, an option to lease additional space in January 2025 and an option to terminate the lease in December 2025. No options are included in the lease liability. Absent the exercise of options in the lease, our remaining base rent (inclusive of property taxes and certain operating costs) is $4.5 million per annum through 2024 and $4.7 million per annum for 2025 - 2029.</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global lease cost reflected in the condensed consolidated statements of income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1"/>
                <w:szCs w:val="11"/>
                <w:color w:val="auto"/>
              </w:rPr>
            </w:pPr>
          </w:p>
        </w:tc>
        <w:tc>
          <w:tcPr>
            <w:tcW w:w="120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1"/>
                <w:szCs w:val="11"/>
                <w:color w:val="auto"/>
              </w:rPr>
            </w:pPr>
          </w:p>
        </w:tc>
        <w:tc>
          <w:tcPr>
            <w:tcW w:w="1100" w:type="dxa"/>
            <w:vAlign w:val="bottom"/>
          </w:tcPr>
          <w:p>
            <w:pPr>
              <w:jc w:val="right"/>
              <w:ind w:right="257"/>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84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cost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lease cost not included in the lease liability</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1080" w:firstLine="8"/>
        <w:spacing w:after="0" w:line="358"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cost includes common area maintenance, property taxes, utilities and fluctuations in rent due to a change in an index or rate. Other information related to operating leases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7"/>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1"/>
                <w:szCs w:val="11"/>
                <w:color w:val="auto"/>
              </w:rPr>
            </w:pPr>
          </w:p>
        </w:tc>
        <w:tc>
          <w:tcPr>
            <w:tcW w:w="1240" w:type="dxa"/>
            <w:vAlign w:val="bottom"/>
            <w:gridSpan w:val="4"/>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1"/>
                <w:szCs w:val="11"/>
                <w:color w:val="auto"/>
              </w:rPr>
            </w:pPr>
          </w:p>
        </w:tc>
        <w:tc>
          <w:tcPr>
            <w:tcW w:w="10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the lease liability:</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(7,213)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(6,779)</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1,389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9"/>
        </w:trPr>
        <w:tc>
          <w:tcPr>
            <w:tcW w:w="8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of operating leases</w:t>
            </w:r>
          </w:p>
        </w:tc>
        <w:tc>
          <w:tcPr>
            <w:tcW w:w="200" w:type="dxa"/>
            <w:vAlign w:val="bottom"/>
            <w:shd w:val="clear" w:color="auto" w:fill="CCEEFF"/>
          </w:tcPr>
          <w:p>
            <w:pPr>
              <w:spacing w:after="0"/>
              <w:rPr>
                <w:sz w:val="24"/>
                <w:szCs w:val="24"/>
                <w:color w:val="auto"/>
              </w:rPr>
            </w:pPr>
          </w:p>
        </w:tc>
        <w:tc>
          <w:tcPr>
            <w:tcW w:w="124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6.2 years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years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of operating leases</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3.4 %</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schedule of the operating lease liabilities as of March 31, 2024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9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20,216</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23,107</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20,629</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18,789</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17,132</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30,774</w:t>
            </w:r>
          </w:p>
        </w:tc>
      </w:tr>
      <w:tr>
        <w:trPr>
          <w:trHeight w:val="223"/>
        </w:trPr>
        <w:tc>
          <w:tcPr>
            <w:tcW w:w="9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130,647</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(12,791)</w:t>
            </w:r>
          </w:p>
        </w:tc>
      </w:tr>
      <w:tr>
        <w:trPr>
          <w:trHeight w:val="248"/>
        </w:trPr>
        <w:tc>
          <w:tcPr>
            <w:tcW w:w="9780" w:type="dxa"/>
            <w:vAlign w:val="bottom"/>
            <w:tcBorders>
              <w:bottom w:val="single" w:sz="8" w:color="CCEEFF"/>
            </w:tcBorders>
            <w:shd w:val="clear" w:color="auto" w:fill="CCEEFF"/>
          </w:tcPr>
          <w:p>
            <w:pPr>
              <w:ind w:left="260"/>
              <w:spacing w:after="0" w:line="223" w:lineRule="exact"/>
              <w:rPr>
                <w:sz w:val="20"/>
                <w:szCs w:val="20"/>
                <w:color w:val="auto"/>
              </w:rPr>
            </w:pPr>
            <w:r>
              <w:rPr>
                <w:rFonts w:ascii="Times New Roman" w:cs="Times New Roman" w:eastAsia="Times New Roman" w:hAnsi="Times New Roman"/>
                <w:sz w:val="18"/>
                <w:szCs w:val="18"/>
                <w:color w:val="auto"/>
              </w:rPr>
              <w:t>Present value of future lease payments</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117,856</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60" w:firstLine="8"/>
        <w:spacing w:after="0" w:line="287" w:lineRule="auto"/>
        <w:tabs>
          <w:tab w:leader="none" w:pos="165"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the current portion of operating lease liabilities of $22.5 million, which is reflected in other accrued expenses and liabilities in the condensed consolidated balance sheets.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leases that have been signed but not yet commenced as of March 31, 2024.</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17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On June 30, 2022, we entered into a credit agreement (as amended, the 2022 Credit Agreement) with PNC Bank, National Association, as administrative agent, swing line lender, and an L/C issuer, the lenders party thereto, and the other L/C issuers party thereto. The 2022 Credit Agreement refinanced our previous credit agreements in their entirety. Terms used in this description of the 2022 Credit Agreement with initial capital letters that are not otherwise defined herein are as defined in the 2022 Credit Agreement.</w:t>
      </w:r>
    </w:p>
    <w:p>
      <w:pPr>
        <w:spacing w:after="0" w:line="126"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2022 Credit Agreement provides for a $755.0 million unsecured term loan facility and a $500.0 million unsecured revolving loan facility, which includes a $50.0 million sublimit for the issuance of letters of credit. The revolving loan facility is available for working capital and general corporate purposes. Each of the term loan facility and the revolving loan facility matures on June 30, 2027.</w:t>
      </w:r>
    </w:p>
    <w:p>
      <w:pPr>
        <w:spacing w:after="0" w:line="12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Borrowings under the term loan and revolving loan facilities accrue interest at a rate that is based on the Term SOFR plus an applicable margin or at the base rate plus an applicable margin, at our election. The base rate is the highest of (i) the Overnight Bank Funding Rate, plus 0.500%, (ii) the PNC Bank, National Association prime rate, and (iii) Daily Simple SOFR plus an adjustment for SOFR plus 1.00%. The applicable margin for the borrowings is a percentage per annum based on the lower of (1) a pricing level determined by our then-current consolidated net leverage ratio and (2) a pricing level determined by our public debt rating (if available).</w:t>
      </w:r>
    </w:p>
    <w:p>
      <w:pPr>
        <w:spacing w:after="0" w:line="1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September 29, 2023, the 2022 Credit Agreement was amended to provide for an interest rate adjustment (Sustainability Rate Adjustment) based upon the achievement of certain environmental, social and governance key performance indicators (KPIs). The Sustainability Rate Adjustment range is +/-0.05% and will be adjusted annually based on the KPIs of the preceding year.</w:t>
      </w:r>
    </w:p>
    <w:p>
      <w:pPr>
        <w:spacing w:after="0" w:line="189"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The 2022 Credit Agreement also provides for the option to add certain foreign subsidiaries as borrowers and to borrow in Euros, Sterling, Yen and Swiss Francs under the revolving loan facility, up to a sublimit of $150.0 million. Borrowings under the revolving loan facility denominated in these currencies will accrue interest at a rate that is based on (a) for Euros, €STR, (b) for Sterling, SONIA, (c) for Yen, TONAR and (d) for Swiss Francs, SARON, plus an applicable margin calculated as described above.</w:t>
      </w:r>
    </w:p>
    <w:p>
      <w:pPr>
        <w:spacing w:after="0" w:line="14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the 2022 Credit Agreement, the weighted average interest rate in effect for the three months ended March 31, 2024 and March 31, 2023 was 6.32% and 5.56%, respectively. The rate in effect as of March 31, 2024 and for the second quarter of 2024 under the 2022 Credit Agreement is 6.23%.</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2022 Credit Agreement contains customary representations and warranties, affirmative and negative covenants and events of default. The 2022 Credit Agreement also contains a financial covenant requiring us and our subsidiaries to maintain a consolidated net leverage ratio not in excess of 3.50 to 1.00 as of the end of any fiscal quarter (for the four-quarter period ending on such date) with an opportunity for a temporary increase in such consolidated net leverage ratio to 4.00 to 1.00 upon the consummation of certain qualified acquisitions for which the aggregate consideration is at least $250.0 million.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of March 31, 2024, we had $755.0 million of borrowings outstanding under the term loan, with a carrying value of $754.0 million, which is net of $1.0 million of unamortized debt discounts and issuance costs. The total amount was included in long-term debt. As of March 31, 2024, no borrowings were outstanding under the revolving loan facility.</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2023, we had $755.0 million of borrowings outstanding under the term loan, with a carrying value of $753.9 million, which is net of $1.1 million of unamortized debt discounts and issuance costs. The total amount was included in long-term debt. As of December 31, 2023, no borrowings were outstanding under the revolving loan facility.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covenants under the 2022 Credit Agreement as of March 31, 2024 and December 31, 2023.</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income before income tax provision, income tax provision and effective tax rates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4"/>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280" w:type="dxa"/>
            <w:vAlign w:val="bottom"/>
          </w:tcPr>
          <w:p>
            <w:pPr>
              <w:spacing w:after="0"/>
              <w:rPr>
                <w:sz w:val="11"/>
                <w:szCs w:val="11"/>
                <w:color w:val="auto"/>
              </w:rPr>
            </w:pPr>
          </w:p>
        </w:tc>
        <w:tc>
          <w:tcPr>
            <w:tcW w:w="140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1"/>
                <w:szCs w:val="11"/>
                <w:color w:val="auto"/>
              </w:rPr>
            </w:pPr>
          </w:p>
        </w:tc>
        <w:tc>
          <w:tcPr>
            <w:tcW w:w="1280" w:type="dxa"/>
            <w:vAlign w:val="bottom"/>
          </w:tcPr>
          <w:p>
            <w:pPr>
              <w:jc w:val="right"/>
              <w:ind w:right="377"/>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79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b w:val="1"/>
                <w:bCs w:val="1"/>
                <w:color w:val="auto"/>
              </w:rPr>
              <w:t>40,958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120,838</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8"/>
                <w:szCs w:val="18"/>
                <w:b w:val="1"/>
                <w:bCs w:val="1"/>
                <w:color w:val="auto"/>
              </w:rPr>
              <w:t>6,180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20,216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Repurchase Program</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There were no share repurchases in the first quarter of 2024. For the three months ended March 31, 2023, 650 thousand shares were repurchased at an average price of $302.34 per share, with a total cost of $196.5 million. As of March 31, 2024, 1.1 million shares remained available for repurchase under the program.</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and its net impact on basic and diluted earnings per share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240" w:type="dxa"/>
            <w:vAlign w:val="bottom"/>
          </w:tcPr>
          <w:p>
            <w:pPr>
              <w:spacing w:after="0"/>
              <w:rPr>
                <w:sz w:val="11"/>
                <w:szCs w:val="11"/>
                <w:color w:val="auto"/>
              </w:rPr>
            </w:pPr>
          </w:p>
        </w:tc>
        <w:tc>
          <w:tcPr>
            <w:tcW w:w="12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1"/>
                <w:szCs w:val="11"/>
                <w:color w:val="auto"/>
              </w:rPr>
            </w:pPr>
          </w:p>
        </w:tc>
        <w:tc>
          <w:tcPr>
            <w:tcW w:w="1100" w:type="dxa"/>
            <w:vAlign w:val="bottom"/>
          </w:tcPr>
          <w:p>
            <w:pPr>
              <w:jc w:val="right"/>
              <w:ind w:right="254"/>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Maintenance and service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23,905</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17,388</w:t>
            </w:r>
          </w:p>
        </w:tc>
        <w:tc>
          <w:tcPr>
            <w:tcW w:w="0" w:type="dxa"/>
            <w:vAlign w:val="bottom"/>
          </w:tcPr>
          <w:p>
            <w:pPr>
              <w:spacing w:after="0"/>
              <w:rPr>
                <w:sz w:val="1"/>
                <w:szCs w:val="1"/>
                <w:color w:val="auto"/>
              </w:rPr>
            </w:pPr>
          </w:p>
        </w:tc>
      </w:tr>
      <w:tr>
        <w:trPr>
          <w:trHeight w:val="223"/>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 before taxes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44,171</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income tax benefits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(23,243)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(18,186)</w:t>
            </w:r>
          </w:p>
        </w:tc>
        <w:tc>
          <w:tcPr>
            <w:tcW w:w="0" w:type="dxa"/>
            <w:vAlign w:val="bottom"/>
          </w:tcPr>
          <w:p>
            <w:pPr>
              <w:spacing w:after="0"/>
              <w:rPr>
                <w:sz w:val="1"/>
                <w:szCs w:val="1"/>
                <w:color w:val="auto"/>
              </w:rPr>
            </w:pPr>
          </w:p>
        </w:tc>
      </w:tr>
      <w:tr>
        <w:trPr>
          <w:trHeight w:val="223"/>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 net of taxes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35,421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25,985</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impact on earnings per share:</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Geographic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to external customers is attributed to individual countries based upon the location of the customer. Revenue by geographic area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400" w:type="dxa"/>
            <w:vAlign w:val="bottom"/>
            <w:tcBorders>
              <w:bottom w:val="single" w:sz="8" w:color="CCEEFF"/>
            </w:tcBorders>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199,948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China and Hong Kong</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36,532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36,198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24,370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Other Europe, Middle East and Africa (EMEA)</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international</w:t>
            </w: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42,206</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466,605</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509,447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by geographic area is as follows:</w:t>
            </w: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4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44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59,674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EMEA</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80,930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Contingencies and Commitments</w:t>
      </w:r>
    </w:p>
    <w:p>
      <w:pPr>
        <w:spacing w:after="0" w:line="175"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8"/>
          <w:szCs w:val="18"/>
          <w:color w:val="auto"/>
        </w:rPr>
        <w:t>We are subject to various claims, investigations, and legal and regulatory proceedings that arise in the ordinary course of business, including, but not limited to, commercial disputes, labor and employment matters, tax audits, alleged infringement of third parties' intellectual property rights and other matters. In our opinion, the resolution of pending matters is not expected to have a material adverse effect on our consolidated results of operations, cash flows or financial position. However, each of these matters is subject to various uncertainties and it is possible that an unfavorable resolution of one or more of these proceedings could materially affect our consolidated results of operations, cash flows or financial position.</w:t>
      </w:r>
    </w:p>
    <w:p>
      <w:pPr>
        <w:spacing w:after="0" w:line="14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Our Indian subsidiary has several service tax audits pending that have resulted in formal inquiries being received on transactions through mid-2012. We could incur tax charges and related liabilities of $7.2 million. As such charges are not probable at this time, a reserve has not been recorded on the condensed consolidated balance sheet as of March 31, 2024. The service tax issues raised in our notices and inquiries are very similar to the case, M/s Microsoft Corporation (I) (P) Ltd. Vs. Commissioner of Service Tax, New Delhi, wherein the Delhi Customs, Excise and Service Tax Appellate Tribunal (CESTAT) issued a favorable ruling to Microsoft. The Microsoft ruling was subsequently challenged in the Supreme Court of India by the Indian tax authority and a decision is still pending. We can provide no assurances on the impact that the present Microsoft case's decision will have on our cases, however, an unfavorable ruling in the Microsoft case may impact our assessment of probability and result in the recording of a $7.2 million reserve. We are uncertain as to when these service tax matters will be concluded.</w:t>
      </w:r>
    </w:p>
    <w:p>
      <w:pPr>
        <w:spacing w:after="0" w:line="13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sell software licenses and services to our customers under contractual agreements. Such agreements generally include certain provisions indemnifying the customer against claims, by third parties, of infringement or misappropriation of their intellectual property rights arising from such customer's usage of our products or services. To date, payments related to these indemnification provisions have been immaterial. For several reasons, including the lack of prior material indemnification claims, we cannot determine the maximum amount of potential future payments, if any, related to such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accompanying unaudited condensed consolidated financial statements and notes thereto for the three months ended March 31, 2024, and with our audited consolidated financial statements and notes thereto for the year ended December 31, 2023 included in the 2023 Form 10-K filed with the Securities and Exchange Commission (SEC). The discussion and analysis of our financial condition and results of operations are based upon our condensed consolidated financial statements, which have been prepared in accordance with generally accepted accounting principles (GAAP).</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Ansys, a corporation formed in 1994, develops and globally markets engineering simulation software and services widely used by engineers, designers, researchers and students across a broad spectrum of industries and academia, including high-tech, aerospace and defense, automotive, energy, industrial equipment, materials and chemicals, consumer products, healthcare and construction. Headquartered south of Pittsburgh, Pennsylvania, we employed 6,200 people as of March 31, 2024 and December 31, 2023. We focus on the development of open and flexible solutions that enable users to analyze designs on-premises and/or via the cloud, providing a common platform for fast, efficient and cost-conscious product development, from design concept to final-stage testing, validation and deployment. We distribute our suite of simulation technologies through direct sales offices in strategic, global locations and a global network of independent resellers and distributors (collectively, channel partners). It is our intention to continue to maintain this hybrid sales and distribution model. We operate and report as one segment.</w:t>
      </w:r>
    </w:p>
    <w:p>
      <w:pPr>
        <w:spacing w:after="0" w:line="8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When visionary companies need to know how their world-changing ideas will perform, they close the gap between design and reality using Ansys simulation. For more than 50 years, Ansys software has enabled innovators across industries to push the boundaries of product design by using the predictive power of simulation. From sustainable transportation and advanced satellite systems to life-saving medical devices, Ansys powers innovation that drives human advancement.</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strategy of Pervasive Insights seeks to deepen the use of simulation in our core market, to inject simulation throughout the product lifecycle and extend the accessibility to a broader set of users and use cases. Our business has three vectors of growth:</w:t>
      </w:r>
    </w:p>
    <w:p>
      <w:pPr>
        <w:spacing w:after="0" w:line="54" w:lineRule="exact"/>
        <w:rPr>
          <w:sz w:val="20"/>
          <w:szCs w:val="20"/>
          <w:color w:val="auto"/>
        </w:rPr>
      </w:pPr>
    </w:p>
    <w:p>
      <w:pPr>
        <w:ind w:left="660" w:right="5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products. Our broad and deep multiphysics portfolio enables us to grow with customers as they use simulation to solve more complex problems across a broad set of industries.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users. Investments in simulation education and user experience simplification has made simulation more accessible to a broader user base.</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computations. Larger and more complex simulations drive more computation, requiring customers to use more Ansys licenses to complete their simulations.</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Through decades of investments in the academic community and enhanced user experiences, our solutions have become accessible and relevant beyond our core "engineering" end user, to reach more users upstream and downstream from our core, which is the product validation process. Our multiphysics solutions enable our customers to address increasingly complex research and development (R&amp;D) challenges from the component through the system and mission level of analysis. Our products seamlessly enable access to high performance compute capacity to run simulations, on-premises or in the cloud, which means our customers' R&amp;D teams are unencumbered by compute capacity limitations that can hinder R&amp;D cycle times. Our investments in artificial intelligence capabilities across our simulation portfolio and technical support services enhance the customer experience, democratize simulation and further next-generation innovation.</w:t>
      </w:r>
    </w:p>
    <w:p>
      <w:pPr>
        <w:spacing w:after="0" w:line="13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engineering simulation software market is strong and growing. The market growth is driven by customers' need for rapid, quality innovation in a cost efficient manner, enabling faster time to market for new products and lower warranty costs. Increasing product complexity is driving sustained demand for simulations. Key industry trends fueling customers' increasing needs for simulation include:</w:t>
      </w:r>
    </w:p>
    <w:p>
      <w:pPr>
        <w:spacing w:after="0" w:line="12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Electrification;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Autonomy;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Connectivity;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industrial internet of things;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Sustainability, including minimizing waste and physical prototyping, and improving circularity and development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20"/>
        <w:spacing w:after="0" w:line="245" w:lineRule="auto"/>
        <w:rPr>
          <w:sz w:val="20"/>
          <w:szCs w:val="20"/>
          <w:color w:val="auto"/>
        </w:rPr>
      </w:pPr>
      <w:r>
        <w:rPr>
          <w:rFonts w:ascii="Times New Roman" w:cs="Times New Roman" w:eastAsia="Times New Roman" w:hAnsi="Times New Roman"/>
          <w:sz w:val="18"/>
          <w:szCs w:val="18"/>
          <w:color w:val="auto"/>
        </w:rPr>
        <w:t>We have been investing and intend to continue to invest in our portfolio to broaden the range of physics and enable customers to analyze the interactions among physics at the component, system and mission level. Our strategy of Pervasive Insights is aligned with the near-term market growth opportunities and is laying the foundation for a future where simulation can be further democratized to broader classes of end users and end-use cases. In addition, we have and expect to continue to partner with industry leaders to extend simulation into other ecosystems and customer R&amp;D workflows.</w:t>
      </w:r>
    </w:p>
    <w:p>
      <w:pPr>
        <w:spacing w:after="0" w:line="22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We license our technology to businesses in a diverse set of industries, educational institutions and governmental agencies. We believe that the features, functionality and integrated multiphysics capabilities of our software products are as strong as they have ever been. The software business is generally characterized by long sales cycles which increase the difficulty of predicting sales for any particular quarter. We make many operational and strategic decisions based upon short- and long-term sales forecasts that are impacted not only by these long sales cycles, but also by current global economic conditions. As a result, we believe that our overall performance is best measured by fiscal year results rather than by quarterly results.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address the competition and price pressure that we face in the short- and long-term by focusing on expanding the breadth, depth, ease of use and quality of the technologies, features, functionality and integrated multiphysics capabilities of our software products as compared to our competitors; investing in research and development to develop new and innovative products and increasing the capabilities of our existing products; maintaining a diverse industry footprint and focusing on customer needs, training, consulting and support; and enhancing our distribution channels. We also evaluate and execute strategic acquisitions to supplement our global engineering talent, product offerings and distribution channels.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Synopsys Merger Agreement</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January 15, 2024, we entered into the Merger Agreement with Synopsys and Merger Sub. The Merger Agreement provides for the merger of Merger Sub with and into Ansys, with Ansys surviving the merger as a wholly owned subsidiary of Synopsys (the Merger). Our Board of Directors has unanimously approved the Merger Agreement and, subject to certain exceptions set forth in the Merger Agreement, resolved to recommend that our stockholders adopt the Merger Agreement. If the Merger is consummated, our common stock will be delisted from the Nasdaq Global Select Market and deregistered under the Exchange Act. The completion of the Merger is subject to customary closing conditions, including, among others, approval of the Merger under certain applicable antitrust and foreign investment regimes and the adoption of the Merger Agreement by our stockholders. We anticipate the transaction to close in the first half of 2025.</w:t>
      </w:r>
    </w:p>
    <w:p>
      <w:pPr>
        <w:spacing w:after="0" w:line="13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foregoing summary of the Merger Agreement and the transactions contemplated thereby does not purport to be complete and is subject to, and qualified in its entirety by, the Merger Agreement, which was filed as Exhibit 2.1 to our Current Report on Form 8-K filed on January 16, 2024, and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 GAAP and Non-GAAP Results</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This section includes a discussion of GAAP and non-GAAP results. For reconciliations of non-GAAP results to GAAP results, see the section titled "Non-GAAP Results" herein.</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2024 and 2023 period non-GAAP results exclude the income statement effects of stock-based compensation, excess payroll taxes related to stock-based compensation, amortization of acquired intangible assets, expenses related to business combinations and adjustments for the income tax effect of the excluded items.</w:t>
      </w:r>
    </w:p>
    <w:p>
      <w:pPr>
        <w:spacing w:after="0" w:line="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GAAP and non-GAAP results for the three months ended March 31, 2024 as compared to the three months ended March 31, 2023 reflected the following variances:</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040" w:type="dxa"/>
            <w:vAlign w:val="bottom"/>
          </w:tcPr>
          <w:p>
            <w:pPr>
              <w:spacing w:after="0"/>
              <w:rPr>
                <w:sz w:val="13"/>
                <w:szCs w:val="13"/>
                <w:color w:val="auto"/>
              </w:rPr>
            </w:pPr>
          </w:p>
        </w:tc>
        <w:tc>
          <w:tcPr>
            <w:tcW w:w="21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904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r>
      <w:tr>
        <w:trPr>
          <w:trHeight w:val="229"/>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Operating income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r>
      <w:tr>
        <w:trPr>
          <w:trHeight w:val="23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r>
      <w:tr>
        <w:trPr>
          <w:trHeight w:val="230"/>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Diluted earnings per share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r>
      <w:tr>
        <w:trPr>
          <w:trHeight w:val="23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r>
    </w:tbl>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results reflect a decline in revenue during the three months ended March 31, 2024 due to reductions in subscription lease license revenue, partially offset by an increase in maintenance revenue. We also experienced increased operating expenses during the three months ended March 31, 2024, primarily due to increased personnel and acquisition costs. Acquisition costs primarily consist of costs related to the Merger Agreement with Synopsys.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For 2024, quarterly growth rates will be variable across the quarters and are affected by the performance comparisons to 2023. Specifically, the first quarter's operating results reflect a structural timing dynamic affected by the renewal base this quarter in which fewer lease contracts were up for renewal, resulting in comparatively lower up-front lease license revenue recognition, impacting revenue, operating income and EPS. As a comparison, the first quarter of 2023 reflected a 65% constant currency growth rate in subscription lease license revenue driven by a meaningful increase in the value of multi-year deals. Quarterly revenue and ACV in Q1 2024 are not representative of the momentum in our business given the shifting mix of license types and renewal cycles that can be volatile quarter to quarter. While this timing dynamic leads to revenue volatility, it does not represent changes in customers' software usage or cash flows. This further highlights the importance of measuring our results based on our fiscal year rather than individual quarters.</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section also includes a discussion of constant currency results, which we use for financial and operational decision-making and as a means to evaluate period-to-period comparisons by excluding the effects of foreign currency fluctuations on the reported results. All constant currency results presented in this Item 2 exclude the effects of foreign currency fluctuations on the reported results. To present this information, the 2024 period results for entities whose functional currency is a currency other than the U.S. Dollar were converted to U.S. Dollars at rates that were in effect for the 2023 comparable period, rather than the actual exchange rates in effect for the 2024 period. Constant currency growth rates are calculated by adjusting the 2024 period reported amounts by the 2024 period currency fluctuation impacts and comparing to the 2023 comparable period reported amounts.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Foreign Currency</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comparative financial results were impacted by fluctuations in the U.S. Dollar during the three months ended March 31, 2024 as compared to the three months ended March 31, 2023. The impacts on our revenue and operating income as a result of the fluctuations of the U.S. Dollar when measured against our foreign currencies based on 2023 period exchange rates are reflected in the table below. Amounts in parenthesis indicate an adverse impact from currency fluctuations.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140" w:type="dxa"/>
            <w:vAlign w:val="bottom"/>
          </w:tcPr>
          <w:p>
            <w:pPr>
              <w:jc w:val="center"/>
              <w:ind w:left="40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0"/>
        </w:trPr>
        <w:tc>
          <w:tcPr>
            <w:tcW w:w="5020" w:type="dxa"/>
            <w:vAlign w:val="bottom"/>
            <w:vMerge w:val="continue"/>
          </w:tcPr>
          <w:p>
            <w:pPr>
              <w:spacing w:after="0"/>
              <w:rPr>
                <w:sz w:val="16"/>
                <w:szCs w:val="16"/>
                <w:color w:val="auto"/>
              </w:rPr>
            </w:pPr>
          </w:p>
        </w:tc>
        <w:tc>
          <w:tcPr>
            <w:tcW w:w="6140" w:type="dxa"/>
            <w:vAlign w:val="bottom"/>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9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w w:val="98"/>
              </w:rPr>
              <w:t>(3,903)</w:t>
            </w:r>
          </w:p>
        </w:tc>
      </w:tr>
      <w:tr>
        <w:trPr>
          <w:trHeight w:val="229"/>
        </w:trPr>
        <w:tc>
          <w:tcPr>
            <w:tcW w:w="20" w:type="dxa"/>
            <w:vAlign w:val="bottom"/>
          </w:tcPr>
          <w:p>
            <w:pPr>
              <w:spacing w:after="0"/>
              <w:rPr>
                <w:sz w:val="19"/>
                <w:szCs w:val="19"/>
                <w:color w:val="auto"/>
              </w:rPr>
            </w:pPr>
          </w:p>
        </w:tc>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Operating income</w:t>
            </w:r>
          </w:p>
        </w:tc>
        <w:tc>
          <w:tcPr>
            <w:tcW w:w="6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w w:val="98"/>
              </w:rPr>
              <w:t>(3,398)</w:t>
            </w:r>
          </w:p>
        </w:tc>
      </w:tr>
      <w:tr>
        <w:trPr>
          <w:trHeight w:val="229"/>
        </w:trPr>
        <w:tc>
          <w:tcPr>
            <w:tcW w:w="20" w:type="dxa"/>
            <w:vAlign w:val="bottom"/>
          </w:tcPr>
          <w:p>
            <w:pPr>
              <w:spacing w:after="0"/>
              <w:rPr>
                <w:sz w:val="19"/>
                <w:szCs w:val="19"/>
                <w:color w:val="auto"/>
              </w:rPr>
            </w:pPr>
          </w:p>
        </w:tc>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60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w w:val="98"/>
              </w:rPr>
              <w:t>(3,178)</w:t>
            </w:r>
          </w:p>
        </w:tc>
      </w:tr>
      <w:tr>
        <w:trPr>
          <w:trHeight w:val="540"/>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constant currency, our variances were as follows: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67"/>
        </w:trPr>
        <w:tc>
          <w:tcPr>
            <w:tcW w:w="2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21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5"/>
        </w:trPr>
        <w:tc>
          <w:tcPr>
            <w:tcW w:w="20" w:type="dxa"/>
            <w:vAlign w:val="bottom"/>
          </w:tcPr>
          <w:p>
            <w:pPr>
              <w:spacing w:after="0"/>
              <w:rPr>
                <w:sz w:val="16"/>
                <w:szCs w:val="16"/>
                <w:color w:val="auto"/>
              </w:rPr>
            </w:pPr>
          </w:p>
        </w:tc>
        <w:tc>
          <w:tcPr>
            <w:tcW w:w="9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20" w:type="dxa"/>
            <w:vAlign w:val="bottom"/>
          </w:tcPr>
          <w:p>
            <w:pPr>
              <w:spacing w:after="0"/>
              <w:rPr>
                <w:sz w:val="19"/>
                <w:szCs w:val="19"/>
                <w:color w:val="auto"/>
              </w:rPr>
            </w:pPr>
          </w:p>
        </w:tc>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w w:val="98"/>
              </w:rPr>
              <w:t>(7.6)%</w:t>
            </w:r>
          </w:p>
        </w:tc>
      </w:tr>
      <w:tr>
        <w:trPr>
          <w:trHeight w:val="230"/>
        </w:trPr>
        <w:tc>
          <w:tcPr>
            <w:tcW w:w="20" w:type="dxa"/>
            <w:vAlign w:val="bottom"/>
          </w:tcPr>
          <w:p>
            <w:pPr>
              <w:spacing w:after="0"/>
              <w:rPr>
                <w:sz w:val="19"/>
                <w:szCs w:val="19"/>
                <w:color w:val="auto"/>
              </w:rPr>
            </w:pPr>
          </w:p>
        </w:tc>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Operating income</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(63.4)%</w:t>
            </w:r>
          </w:p>
        </w:tc>
      </w:tr>
      <w:tr>
        <w:trPr>
          <w:trHeight w:val="230"/>
        </w:trPr>
        <w:tc>
          <w:tcPr>
            <w:tcW w:w="20" w:type="dxa"/>
            <w:vAlign w:val="bottom"/>
          </w:tcPr>
          <w:p>
            <w:pPr>
              <w:spacing w:after="0"/>
              <w:rPr>
                <w:sz w:val="19"/>
                <w:szCs w:val="19"/>
                <w:color w:val="auto"/>
              </w:rPr>
            </w:pPr>
          </w:p>
        </w:tc>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(24.4)%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Key Business Metric</w:t>
      </w:r>
    </w:p>
    <w:p>
      <w:pPr>
        <w:spacing w:after="0" w:line="10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Annual Contract Value (ACV) is a key performance metric and is useful to investors in assessing the strength and trajectory of our business. ACV is a supplemental metric to help evaluate the annual performance of the business. Over the life of the contract, ACV equals the total value realized from a customer. ACV is not impacted by the timing of license revenue recognition. ACV is used by management in financial and operational decision-making and in setting sales targets used for compensation. ACV is not a replacement for, and should be viewed independently of, GAAP revenue and deferred revenue as ACV is a performance metric and is not intended to be combined with any of these items. There is no GAAP measure comparable to ACV. ACV is composed of the following:</w:t>
      </w:r>
    </w:p>
    <w:p>
      <w:pPr>
        <w:spacing w:after="0" w:line="214" w:lineRule="exact"/>
        <w:rPr>
          <w:sz w:val="20"/>
          <w:szCs w:val="20"/>
          <w:color w:val="auto"/>
        </w:rPr>
      </w:pPr>
    </w:p>
    <w:p>
      <w:pPr>
        <w:ind w:left="640" w:hanging="308"/>
        <w:spacing w:after="0"/>
        <w:tabs>
          <w:tab w:leader="none" w:pos="640" w:val="left"/>
        </w:tabs>
        <w:numPr>
          <w:ilvl w:val="0"/>
          <w:numId w:val="20"/>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annualized value of maintenance and subscription lease contracts with start dates or anniversary dates during the period, plus</w:t>
      </w:r>
    </w:p>
    <w:p>
      <w:pPr>
        <w:spacing w:after="0" w:line="14" w:lineRule="exact"/>
        <w:rPr>
          <w:rFonts w:ascii="Calibri" w:cs="Calibri" w:eastAsia="Calibri" w:hAnsi="Calibri"/>
          <w:sz w:val="18"/>
          <w:szCs w:val="18"/>
          <w:color w:val="auto"/>
        </w:rPr>
      </w:pPr>
    </w:p>
    <w:p>
      <w:pPr>
        <w:ind w:left="640" w:hanging="308"/>
        <w:spacing w:after="0"/>
        <w:tabs>
          <w:tab w:leader="none" w:pos="640" w:val="left"/>
        </w:tabs>
        <w:numPr>
          <w:ilvl w:val="0"/>
          <w:numId w:val="20"/>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value of perpetual license contracts with start dates during the period, plus</w:t>
      </w:r>
    </w:p>
    <w:p>
      <w:pPr>
        <w:spacing w:after="0" w:line="9" w:lineRule="exact"/>
        <w:rPr>
          <w:rFonts w:ascii="Calibri" w:cs="Calibri" w:eastAsia="Calibri" w:hAnsi="Calibri"/>
          <w:sz w:val="18"/>
          <w:szCs w:val="18"/>
          <w:color w:val="auto"/>
        </w:rPr>
      </w:pPr>
    </w:p>
    <w:p>
      <w:pPr>
        <w:ind w:left="640" w:hanging="308"/>
        <w:spacing w:after="0"/>
        <w:tabs>
          <w:tab w:leader="none" w:pos="640" w:val="left"/>
        </w:tabs>
        <w:numPr>
          <w:ilvl w:val="0"/>
          <w:numId w:val="20"/>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annualized value of fixed-term services contracts with start dates or anniversary dates during the period, plus</w:t>
      </w:r>
    </w:p>
    <w:p>
      <w:pPr>
        <w:spacing w:after="0" w:line="9" w:lineRule="exact"/>
        <w:rPr>
          <w:rFonts w:ascii="Calibri" w:cs="Calibri" w:eastAsia="Calibri" w:hAnsi="Calibri"/>
          <w:sz w:val="18"/>
          <w:szCs w:val="18"/>
          <w:color w:val="auto"/>
        </w:rPr>
      </w:pPr>
    </w:p>
    <w:p>
      <w:pPr>
        <w:ind w:left="640" w:hanging="308"/>
        <w:spacing w:after="0"/>
        <w:tabs>
          <w:tab w:leader="none" w:pos="640" w:val="left"/>
        </w:tabs>
        <w:numPr>
          <w:ilvl w:val="0"/>
          <w:numId w:val="20"/>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value of work performed during the period on fixed-deliverable services contracts.</w:t>
      </w:r>
    </w:p>
    <w:p>
      <w:pPr>
        <w:spacing w:after="0" w:line="2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When we refer to the anniversary dates in the definition of ACV above, we are referencing the date of the beginning of the next twelve-month period in a contractually committed multi-year contract. If a contract is three years in duration, with a start date of July 1, 2024, the anniversary dates would be July 1, 2025 and July 1, 2026. We label these anniversary dates as they are contractually committed. While this contract would be up for renewal on July 1, 2027, our ACV performance metric does not assume any contract renewals.</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Example 1: For purposes of calculating ACV, a $100,000 subscription lease contract or a $100,000 maintenance contract with a term of July 1, 2024 – June 30, 2025, would each contribute $100,000 to ACV for fiscal year 2024 with no contribution to ACV for fiscal year 2025.</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Example 2: For purposes of calculating ACV, a $300,000 subscription lease contract or a $300,000 maintenance contract with a term of July 1, 2024 – June 30, 2027, would each contribute $100,000 to ACV in each of fiscal years 2024, 2025 and 2026. There would be no contribution to ACV for fiscal year 2027 as each period captures the full annual value upon the anniversary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 3: A perpetual license valued at $200,000 with a contract start date of March 1, 2024 would contribute $200,000 to ACV in fiscal year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and 2023 our ACV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8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center"/>
              <w:ind w:right="84"/>
              <w:spacing w:after="0" w:line="135"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0" w:type="dxa"/>
            <w:vAlign w:val="bottom"/>
            <w:shd w:val="clear" w:color="auto" w:fill="CCEEFF"/>
          </w:tcPr>
          <w:p>
            <w:pPr>
              <w:spacing w:after="0"/>
              <w:rPr>
                <w:sz w:val="11"/>
                <w:szCs w:val="11"/>
                <w:color w:val="auto"/>
              </w:rPr>
            </w:pPr>
          </w:p>
        </w:tc>
        <w:tc>
          <w:tcPr>
            <w:tcW w:w="1200" w:type="dxa"/>
            <w:vAlign w:val="bottom"/>
            <w:gridSpan w:val="3"/>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ind w:left="500"/>
              <w:spacing w:after="0" w:line="135"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Borders>
              <w:top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ACV</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407,405</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410,433</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399,407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7,998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11,026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Our trailing twelve-month recurring ACV, converted from the functional currency to U.S. Dollars at the 2023 period monthly average exchange rates, was as follows:</w:t>
      </w: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Twelve Months Ended March 31,</w:t>
            </w:r>
          </w:p>
        </w:tc>
        <w:tc>
          <w:tcPr>
            <w:tcW w:w="220" w:type="dxa"/>
            <w:vAlign w:val="bottom"/>
          </w:tcPr>
          <w:p>
            <w:pPr>
              <w:spacing w:after="0"/>
              <w:rPr>
                <w:sz w:val="16"/>
                <w:szCs w:val="16"/>
                <w:color w:val="auto"/>
              </w:rPr>
            </w:pPr>
          </w:p>
        </w:tc>
        <w:tc>
          <w:tcPr>
            <w:tcW w:w="12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ACV at 2023 monthly average exchange rates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1,944,685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235,251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Recurring ACV includes both subscription lease license and maintenance ACV and excludes perpetual license and service ACV.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Industry Commentary:</w:t>
      </w:r>
    </w:p>
    <w:p>
      <w:pPr>
        <w:spacing w:after="0" w:line="92"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8"/>
          <w:szCs w:val="18"/>
          <w:color w:val="auto"/>
        </w:rPr>
        <w:t>During the first quarter of 2024, ACV growth was supported by our core industries of aerospace and defense (A&amp;D) and automotive. Despite a decrease in high-tech ACV during the quarter, we continue to see demand in the industry as more customers require our semiconductor and multiphysics solutions to model advanced packaging technologies. We remain critical to our customers' development of advanced chips, often with bespoke functionality. Our A&amp;D customers continue to rely on simulation in support of complex, connected and autonomous platforms. Within the automotive industry, electrification remains a critical driver of simulation investment in electric vehicles (EVs). Our portfolio is well-positioned to support automotive companies focused on addressing tight margins on EV sales and optimizing efficiency in both operations and vehicle performance. The energy sector also contributed to ACV growth in the first quarter driven by the need to continually deliver, convert and consume various forms of fuel more efficiently, as well as develop scalable, renewable energy sources.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Geographic Trends: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geographic revenue variances using actual and constant currency rates during the three months ended March 31, 2024 as compared to the three months ended March 31, 2023:</w:t>
      </w:r>
    </w:p>
    <w:p>
      <w:pPr>
        <w:spacing w:after="0" w:line="200" w:lineRule="exact"/>
        <w:rPr>
          <w:sz w:val="20"/>
          <w:szCs w:val="20"/>
          <w:color w:val="auto"/>
        </w:rPr>
      </w:pPr>
    </w:p>
    <w:p>
      <w:pPr>
        <w:spacing w:after="0" w:line="239"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w w:val="95"/>
              </w:rPr>
              <w:t>Actual</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Constant Currency</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38"/>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bl>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value and duration of multi-year subscription lease contracts executed during the period significantly impact the recognition of revenue. As a result, revenue may fluctuate, particularly on a quarterly basis, due to the timing of such contracts, relative differences in duration of long-term contracts from quarter to quarter and changes in the mix of license types sold compared to the prior year. Large swings in revenue growth rates are not necessarily indicative of customers' software usage changes or cash flows during the periods presented. To drive growth, we continue to focus on a number of sales improvement activities across our geographic regions, including sales hiring, pipeline building, productivity initiatives and customer engagement activities.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preparation of our financial statements requires us to make estimates and judgments that affect the reported amounts of assets, liabilities, revenues and expenses, and related disclosure of contingent assets and liabilities. On an ongoing basis, we evaluate our estimates, including those related to contract revenue, standalone selling prices of our products and services, allowance for doubtful accounts receivable, valuation of goodwill and other intangible assets, useful lives for depreciation and amortization, acquired deferred revenue, operating lease assets and liabilities, fair values of stock awards, deferred compensation, income taxes, uncertain tax positions, tax valuation reserves, and contingencies and litigation. We base our estimates on historical experience, market experience, estimated future cash flows and various other assumptions that management believes are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and Section 21E of the Securities Exchange Act of 1934 (the Exchange Act). Forward-looking statements are statements that provide current expectations or forecasts of future events based on certain assumptions. Forward-looking statements are subject to risks, uncertainties, and factors relating to our business which could cause our actual results to differ materially from the expectations expressed in or implied by such forward-looking statements.</w:t>
      </w:r>
    </w:p>
    <w:p>
      <w:pPr>
        <w:spacing w:after="0" w:line="20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Forward-looking statements use words such as “anticipate,” “believe,” “could,” “estimate,” “expect,” “forecast,” “intend,” “likely,” “may,” “outlook,” “plan,” “predict,” “project,” “should,” “target,” or other words of similar meaning. Forward-looking statements include those about market opportunity, including our total addressable market, the proposed transaction with Synopsys, Inc., including the expected date of closing and the potential benefits thereof, and other aspects of future operation. We caution readers not to place undue reliance upon any such forward-looking statements, which speak only as of the date they are made. We undertake no obligation to update forward-looking statements, whether as a result of new information, future events or otherwise.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risks associated with the following, among others, could cause actual results to differ materially from those described in any forward-looking statements:</w:t>
      </w:r>
    </w:p>
    <w:p>
      <w:pPr>
        <w:spacing w:after="0" w:line="189" w:lineRule="exact"/>
        <w:rPr>
          <w:sz w:val="20"/>
          <w:szCs w:val="20"/>
          <w:color w:val="auto"/>
        </w:rPr>
      </w:pPr>
    </w:p>
    <w:p>
      <w:pPr>
        <w:ind w:left="660" w:right="240" w:hanging="328"/>
        <w:spacing w:after="0" w:line="270" w:lineRule="auto"/>
        <w:tabs>
          <w:tab w:leader="none" w:pos="653" w:val="left"/>
        </w:tabs>
        <w:numPr>
          <w:ilvl w:val="0"/>
          <w:numId w:val="21"/>
        </w:numPr>
        <w:rPr>
          <w:rFonts w:ascii="Calibri" w:cs="Calibri" w:eastAsia="Calibri" w:hAnsi="Calibri"/>
          <w:sz w:val="20"/>
          <w:szCs w:val="20"/>
          <w:color w:val="auto"/>
        </w:rPr>
      </w:pPr>
      <w:r>
        <w:rPr>
          <w:rFonts w:ascii="Times New Roman" w:cs="Times New Roman" w:eastAsia="Times New Roman" w:hAnsi="Times New Roman"/>
          <w:sz w:val="18"/>
          <w:szCs w:val="18"/>
          <w:color w:val="auto"/>
        </w:rPr>
        <w:t>our ability to complete the proposed transaction with Synopsys on anticipated terms and timing, including obtaining stockholder and regulatory approvals, and other conditions related to the completion of the transaction;</w:t>
      </w:r>
    </w:p>
    <w:p>
      <w:pPr>
        <w:spacing w:after="0" w:line="194" w:lineRule="exact"/>
        <w:rPr>
          <w:rFonts w:ascii="Calibri" w:cs="Calibri" w:eastAsia="Calibri" w:hAnsi="Calibri"/>
          <w:sz w:val="20"/>
          <w:szCs w:val="20"/>
          <w:color w:val="auto"/>
        </w:rPr>
      </w:pPr>
    </w:p>
    <w:p>
      <w:pPr>
        <w:ind w:left="660" w:right="160" w:hanging="328"/>
        <w:spacing w:after="0" w:line="251" w:lineRule="auto"/>
        <w:tabs>
          <w:tab w:leader="none" w:pos="653" w:val="left"/>
        </w:tabs>
        <w:numPr>
          <w:ilvl w:val="0"/>
          <w:numId w:val="21"/>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the realization of the anticipated benefits of the proposed transaction with Synopsys, including potential disruptions to our and Synopsys’ businesses and commercial relationships with others resulting from the announcement or completion of the proposed transaction and uncertainty as to the long-term value of Synopsys’ common stock;</w:t>
      </w:r>
    </w:p>
    <w:p>
      <w:pPr>
        <w:spacing w:after="0" w:line="216" w:lineRule="exact"/>
        <w:rPr>
          <w:rFonts w:ascii="Calibri" w:cs="Calibri" w:eastAsia="Calibri" w:hAnsi="Calibri"/>
          <w:sz w:val="20"/>
          <w:szCs w:val="20"/>
          <w:b w:val="1"/>
          <w:bCs w:val="1"/>
          <w:color w:val="auto"/>
        </w:rPr>
      </w:pPr>
    </w:p>
    <w:p>
      <w:pPr>
        <w:ind w:left="660" w:right="180" w:hanging="328"/>
        <w:spacing w:after="0" w:line="270" w:lineRule="auto"/>
        <w:tabs>
          <w:tab w:leader="none" w:pos="653" w:val="left"/>
        </w:tabs>
        <w:numPr>
          <w:ilvl w:val="0"/>
          <w:numId w:val="21"/>
        </w:numPr>
        <w:rPr>
          <w:rFonts w:ascii="Calibri" w:cs="Calibri" w:eastAsia="Calibri" w:hAnsi="Calibri"/>
          <w:sz w:val="20"/>
          <w:szCs w:val="20"/>
          <w:color w:val="auto"/>
        </w:rPr>
      </w:pPr>
      <w:r>
        <w:rPr>
          <w:rFonts w:ascii="Times New Roman" w:cs="Times New Roman" w:eastAsia="Times New Roman" w:hAnsi="Times New Roman"/>
          <w:sz w:val="18"/>
          <w:szCs w:val="18"/>
          <w:color w:val="auto"/>
        </w:rPr>
        <w:t>restrictions during the pendency of the proposed transaction with Synopsys that could impact our ability to pursue certain business opportunities or strategic transactions, including tuck-in M&amp;A;</w:t>
      </w:r>
    </w:p>
    <w:p>
      <w:pPr>
        <w:spacing w:after="0" w:line="194" w:lineRule="exact"/>
        <w:rPr>
          <w:rFonts w:ascii="Calibri" w:cs="Calibri" w:eastAsia="Calibri" w:hAnsi="Calibri"/>
          <w:sz w:val="20"/>
          <w:szCs w:val="20"/>
          <w:color w:val="auto"/>
        </w:rPr>
      </w:pPr>
    </w:p>
    <w:p>
      <w:pPr>
        <w:ind w:left="660" w:right="140" w:hanging="328"/>
        <w:spacing w:after="0" w:line="254" w:lineRule="auto"/>
        <w:tabs>
          <w:tab w:leader="none" w:pos="653" w:val="left"/>
        </w:tabs>
        <w:numPr>
          <w:ilvl w:val="0"/>
          <w:numId w:val="21"/>
        </w:numPr>
        <w:rPr>
          <w:rFonts w:ascii="Calibri" w:cs="Calibri" w:eastAsia="Calibri" w:hAnsi="Calibri"/>
          <w:sz w:val="20"/>
          <w:szCs w:val="20"/>
          <w:color w:val="auto"/>
        </w:rPr>
      </w:pPr>
      <w:r>
        <w:rPr>
          <w:rFonts w:ascii="Times New Roman" w:cs="Times New Roman" w:eastAsia="Times New Roman" w:hAnsi="Times New Roman"/>
          <w:sz w:val="18"/>
          <w:szCs w:val="18"/>
          <w:color w:val="auto"/>
        </w:rPr>
        <w:t>adverse conditions in the macroeconomic environment, including inflation, recessionary conditions and volatility in equity and foreign exchange markets; political, economic and regulatory uncertainties in the countries and regions in which we operate;</w:t>
      </w:r>
    </w:p>
    <w:p>
      <w:pPr>
        <w:spacing w:after="0" w:line="211" w:lineRule="exact"/>
        <w:rPr>
          <w:rFonts w:ascii="Calibri" w:cs="Calibri" w:eastAsia="Calibri" w:hAnsi="Calibri"/>
          <w:sz w:val="20"/>
          <w:szCs w:val="20"/>
          <w:color w:val="auto"/>
        </w:rPr>
      </w:pPr>
    </w:p>
    <w:p>
      <w:pPr>
        <w:ind w:left="660" w:right="280" w:hanging="328"/>
        <w:spacing w:after="0" w:line="270" w:lineRule="auto"/>
        <w:tabs>
          <w:tab w:leader="none" w:pos="653" w:val="left"/>
        </w:tabs>
        <w:numPr>
          <w:ilvl w:val="0"/>
          <w:numId w:val="21"/>
        </w:numPr>
        <w:rPr>
          <w:rFonts w:ascii="Calibri" w:cs="Calibri" w:eastAsia="Calibri" w:hAnsi="Calibri"/>
          <w:sz w:val="20"/>
          <w:szCs w:val="20"/>
          <w:color w:val="auto"/>
        </w:rPr>
      </w:pPr>
      <w:r>
        <w:rPr>
          <w:rFonts w:ascii="Times New Roman" w:cs="Times New Roman" w:eastAsia="Times New Roman" w:hAnsi="Times New Roman"/>
          <w:sz w:val="18"/>
          <w:szCs w:val="18"/>
          <w:color w:val="auto"/>
        </w:rPr>
        <w:t>impacts from tariffs, trade sanctions, export controls or other trade barriers, including export control restrictions and licensing requirements for exports to China;</w:t>
      </w:r>
    </w:p>
    <w:p>
      <w:pPr>
        <w:spacing w:after="0" w:line="194" w:lineRule="exact"/>
        <w:rPr>
          <w:rFonts w:ascii="Calibri" w:cs="Calibri" w:eastAsia="Calibri" w:hAnsi="Calibri"/>
          <w:sz w:val="20"/>
          <w:szCs w:val="20"/>
          <w:color w:val="auto"/>
        </w:rPr>
      </w:pPr>
    </w:p>
    <w:p>
      <w:pPr>
        <w:ind w:left="660" w:hanging="328"/>
        <w:spacing w:after="0" w:line="256" w:lineRule="auto"/>
        <w:tabs>
          <w:tab w:leader="none" w:pos="653" w:val="left"/>
        </w:tabs>
        <w:numPr>
          <w:ilvl w:val="0"/>
          <w:numId w:val="21"/>
        </w:numPr>
        <w:rPr>
          <w:rFonts w:ascii="Calibri" w:cs="Calibri" w:eastAsia="Calibri" w:hAnsi="Calibri"/>
          <w:sz w:val="20"/>
          <w:szCs w:val="20"/>
          <w:color w:val="auto"/>
        </w:rPr>
      </w:pPr>
      <w:r>
        <w:rPr>
          <w:rFonts w:ascii="Times New Roman" w:cs="Times New Roman" w:eastAsia="Times New Roman" w:hAnsi="Times New Roman"/>
          <w:sz w:val="18"/>
          <w:szCs w:val="18"/>
          <w:color w:val="auto"/>
        </w:rPr>
        <w:t>impacts resulting from the conflict between Israel and Hamas, including impacts from changes to diplomatic relations and trade policy between the United States and other countries resulting from the conflict; impacts from changes to diplomatic relations and trade policy between the United States and Russia or the United States and other countries that may support Russia or take similar actions due to the conflict between Russia and Ukraine;</w:t>
      </w:r>
    </w:p>
    <w:p>
      <w:pPr>
        <w:spacing w:after="0" w:line="211" w:lineRule="exact"/>
        <w:rPr>
          <w:rFonts w:ascii="Calibri" w:cs="Calibri" w:eastAsia="Calibri" w:hAnsi="Calibri"/>
          <w:sz w:val="20"/>
          <w:szCs w:val="20"/>
          <w:color w:val="auto"/>
        </w:rPr>
      </w:pPr>
    </w:p>
    <w:p>
      <w:pPr>
        <w:ind w:left="660" w:right="340" w:hanging="328"/>
        <w:spacing w:after="0" w:line="254" w:lineRule="auto"/>
        <w:tabs>
          <w:tab w:leader="none" w:pos="653" w:val="left"/>
        </w:tabs>
        <w:numPr>
          <w:ilvl w:val="0"/>
          <w:numId w:val="21"/>
        </w:numPr>
        <w:rPr>
          <w:rFonts w:ascii="Calibri" w:cs="Calibri" w:eastAsia="Calibri" w:hAnsi="Calibri"/>
          <w:sz w:val="20"/>
          <w:szCs w:val="20"/>
          <w:color w:val="auto"/>
        </w:rPr>
      </w:pPr>
      <w:r>
        <w:rPr>
          <w:rFonts w:ascii="Times New Roman" w:cs="Times New Roman" w:eastAsia="Times New Roman" w:hAnsi="Times New Roman"/>
          <w:sz w:val="18"/>
          <w:szCs w:val="18"/>
          <w:color w:val="auto"/>
        </w:rPr>
        <w:t>constrained credit and liquidity due to disruptions in the global economy and financial markets, which may limit or delay availability of credit under our existing or new credit facilities, or which may limit our ability to obtain credit or financing on acceptable terms or at all;</w:t>
      </w:r>
    </w:p>
    <w:p>
      <w:pPr>
        <w:spacing w:after="0" w:line="211" w:lineRule="exact"/>
        <w:rPr>
          <w:rFonts w:ascii="Calibri" w:cs="Calibri" w:eastAsia="Calibri" w:hAnsi="Calibri"/>
          <w:sz w:val="20"/>
          <w:szCs w:val="20"/>
          <w:color w:val="auto"/>
        </w:rPr>
      </w:pPr>
    </w:p>
    <w:p>
      <w:pPr>
        <w:ind w:left="660" w:right="140" w:hanging="328"/>
        <w:spacing w:after="0" w:line="270" w:lineRule="auto"/>
        <w:tabs>
          <w:tab w:leader="none" w:pos="653" w:val="left"/>
        </w:tabs>
        <w:numPr>
          <w:ilvl w:val="0"/>
          <w:numId w:val="21"/>
        </w:numPr>
        <w:rPr>
          <w:rFonts w:ascii="Calibri" w:cs="Calibri" w:eastAsia="Calibri" w:hAnsi="Calibri"/>
          <w:sz w:val="20"/>
          <w:szCs w:val="20"/>
          <w:color w:val="auto"/>
        </w:rPr>
      </w:pPr>
      <w:r>
        <w:rPr>
          <w:rFonts w:ascii="Times New Roman" w:cs="Times New Roman" w:eastAsia="Times New Roman" w:hAnsi="Times New Roman"/>
          <w:sz w:val="18"/>
          <w:szCs w:val="18"/>
          <w:color w:val="auto"/>
        </w:rPr>
        <w:t>our ability to timely recruit and retain key personnel in a highly competitive labor market, including potential financial impacts of wage inflation and potential impacts due to the proposed transaction with Synopsys;</w:t>
      </w:r>
    </w:p>
    <w:p>
      <w:pPr>
        <w:spacing w:after="0" w:line="194" w:lineRule="exact"/>
        <w:rPr>
          <w:rFonts w:ascii="Calibri" w:cs="Calibri" w:eastAsia="Calibri" w:hAnsi="Calibri"/>
          <w:sz w:val="20"/>
          <w:szCs w:val="20"/>
          <w:color w:val="auto"/>
        </w:rPr>
      </w:pPr>
    </w:p>
    <w:p>
      <w:pPr>
        <w:ind w:left="660" w:right="280" w:hanging="328"/>
        <w:spacing w:after="0" w:line="251" w:lineRule="auto"/>
        <w:tabs>
          <w:tab w:leader="none" w:pos="653" w:val="left"/>
        </w:tabs>
        <w:numPr>
          <w:ilvl w:val="0"/>
          <w:numId w:val="21"/>
        </w:numPr>
        <w:rPr>
          <w:rFonts w:ascii="Calibri" w:cs="Calibri" w:eastAsia="Calibri" w:hAnsi="Calibri"/>
          <w:sz w:val="20"/>
          <w:szCs w:val="20"/>
          <w:color w:val="auto"/>
        </w:rPr>
      </w:pPr>
      <w:r>
        <w:rPr>
          <w:rFonts w:ascii="Times New Roman" w:cs="Times New Roman" w:eastAsia="Times New Roman" w:hAnsi="Times New Roman"/>
          <w:sz w:val="18"/>
          <w:szCs w:val="18"/>
          <w:color w:val="auto"/>
        </w:rPr>
        <w:t>our ability to protect our proprietary technology; cybersecurity threats or other security breaches, including in relation to breaches occurring through our products and an increased level of our activity that is occurring from remote global off-site locations; and disclosure and misuse of employee or customer data whether as a result of a cybersecurity incident or otherwise;</w:t>
      </w:r>
    </w:p>
    <w:p>
      <w:pPr>
        <w:spacing w:after="0" w:line="216" w:lineRule="exact"/>
        <w:rPr>
          <w:rFonts w:ascii="Calibri" w:cs="Calibri" w:eastAsia="Calibri" w:hAnsi="Calibri"/>
          <w:sz w:val="20"/>
          <w:szCs w:val="20"/>
          <w:color w:val="auto"/>
        </w:rPr>
      </w:pPr>
    </w:p>
    <w:p>
      <w:pPr>
        <w:ind w:left="660" w:right="560" w:hanging="328"/>
        <w:spacing w:after="0" w:line="270" w:lineRule="auto"/>
        <w:tabs>
          <w:tab w:leader="none" w:pos="653" w:val="left"/>
        </w:tabs>
        <w:numPr>
          <w:ilvl w:val="0"/>
          <w:numId w:val="21"/>
        </w:numPr>
        <w:rPr>
          <w:rFonts w:ascii="Calibri" w:cs="Calibri" w:eastAsia="Calibri" w:hAnsi="Calibri"/>
          <w:sz w:val="20"/>
          <w:szCs w:val="20"/>
          <w:color w:val="auto"/>
        </w:rPr>
      </w:pPr>
      <w:r>
        <w:rPr>
          <w:rFonts w:ascii="Times New Roman" w:cs="Times New Roman" w:eastAsia="Times New Roman" w:hAnsi="Times New Roman"/>
          <w:sz w:val="18"/>
          <w:szCs w:val="18"/>
          <w:color w:val="auto"/>
        </w:rPr>
        <w:t>increased volatility in our revenue due to the timing, duration and value of multi-year subscription lease contracts; and our reliance on high renewal rates for annual subscription lease and maintenance contracts;</w:t>
      </w:r>
    </w:p>
    <w:p>
      <w:pPr>
        <w:spacing w:after="0" w:line="194" w:lineRule="exact"/>
        <w:rPr>
          <w:rFonts w:ascii="Calibri" w:cs="Calibri" w:eastAsia="Calibri" w:hAnsi="Calibri"/>
          <w:sz w:val="20"/>
          <w:szCs w:val="20"/>
          <w:color w:val="auto"/>
        </w:rPr>
      </w:pPr>
    </w:p>
    <w:p>
      <w:pPr>
        <w:ind w:left="660" w:right="100" w:hanging="328"/>
        <w:spacing w:after="0" w:line="256" w:lineRule="auto"/>
        <w:tabs>
          <w:tab w:leader="none" w:pos="653" w:val="left"/>
        </w:tabs>
        <w:numPr>
          <w:ilvl w:val="0"/>
          <w:numId w:val="21"/>
        </w:numPr>
        <w:rPr>
          <w:rFonts w:ascii="Calibri" w:cs="Calibri" w:eastAsia="Calibri" w:hAnsi="Calibri"/>
          <w:sz w:val="20"/>
          <w:szCs w:val="20"/>
          <w:color w:val="auto"/>
        </w:rPr>
      </w:pPr>
      <w:r>
        <w:rPr>
          <w:rFonts w:ascii="Times New Roman" w:cs="Times New Roman" w:eastAsia="Times New Roman" w:hAnsi="Times New Roman"/>
          <w:sz w:val="18"/>
          <w:szCs w:val="18"/>
          <w:color w:val="auto"/>
        </w:rPr>
        <w:t>declines in our customers’ businesses resulting in adverse changes in procurement patterns; disruptions in accounts receivable and cash flow due to customers’ liquidity challenges and commercial deterioration; uncertainties regarding demand for our products and services in the future and our customers’ acceptance of new products; delays or declines in anticipated sales due to reduced or altered sales and marketing interactions with customers; and potential variations in our sales forecast compared to actual sales;</w:t>
      </w:r>
    </w:p>
    <w:p>
      <w:pPr>
        <w:spacing w:after="0" w:line="211" w:lineRule="exact"/>
        <w:rPr>
          <w:rFonts w:ascii="Calibri" w:cs="Calibri" w:eastAsia="Calibri" w:hAnsi="Calibri"/>
          <w:sz w:val="20"/>
          <w:szCs w:val="20"/>
          <w:color w:val="auto"/>
        </w:rPr>
      </w:pPr>
    </w:p>
    <w:p>
      <w:pPr>
        <w:ind w:left="660" w:right="480" w:hanging="328"/>
        <w:spacing w:after="0" w:line="254" w:lineRule="auto"/>
        <w:tabs>
          <w:tab w:leader="none" w:pos="653" w:val="left"/>
        </w:tabs>
        <w:numPr>
          <w:ilvl w:val="0"/>
          <w:numId w:val="21"/>
        </w:numPr>
        <w:rPr>
          <w:rFonts w:ascii="Calibri" w:cs="Calibri" w:eastAsia="Calibri" w:hAnsi="Calibri"/>
          <w:sz w:val="20"/>
          <w:szCs w:val="20"/>
          <w:color w:val="auto"/>
        </w:rPr>
      </w:pPr>
      <w:r>
        <w:rPr>
          <w:rFonts w:ascii="Times New Roman" w:cs="Times New Roman" w:eastAsia="Times New Roman" w:hAnsi="Times New Roman"/>
          <w:sz w:val="18"/>
          <w:szCs w:val="18"/>
          <w:color w:val="auto"/>
        </w:rPr>
        <w:t>our ability and our channel partners’ ability to comply with laws and regulations in relevant jurisdictions; and the outcome of contingencies, including legal proceedings, government or regulatory investigations and tax audit cases;</w:t>
      </w:r>
    </w:p>
    <w:p>
      <w:pPr>
        <w:spacing w:after="0" w:line="211" w:lineRule="exact"/>
        <w:rPr>
          <w:rFonts w:ascii="Calibri" w:cs="Calibri" w:eastAsia="Calibri" w:hAnsi="Calibri"/>
          <w:sz w:val="20"/>
          <w:szCs w:val="20"/>
          <w:color w:val="auto"/>
        </w:rPr>
      </w:pPr>
    </w:p>
    <w:p>
      <w:pPr>
        <w:ind w:left="660" w:right="280" w:hanging="328"/>
        <w:spacing w:after="0" w:line="270" w:lineRule="auto"/>
        <w:tabs>
          <w:tab w:leader="none" w:pos="653" w:val="left"/>
        </w:tabs>
        <w:numPr>
          <w:ilvl w:val="0"/>
          <w:numId w:val="21"/>
        </w:numPr>
        <w:rPr>
          <w:rFonts w:ascii="Calibri" w:cs="Calibri" w:eastAsia="Calibri" w:hAnsi="Calibri"/>
          <w:sz w:val="20"/>
          <w:szCs w:val="20"/>
          <w:color w:val="auto"/>
        </w:rPr>
      </w:pPr>
      <w:r>
        <w:rPr>
          <w:rFonts w:ascii="Times New Roman" w:cs="Times New Roman" w:eastAsia="Times New Roman" w:hAnsi="Times New Roman"/>
          <w:sz w:val="18"/>
          <w:szCs w:val="18"/>
          <w:color w:val="auto"/>
        </w:rPr>
        <w:t>uncertainty regarding income tax estimates in the jurisdictions in which we operate; and the effect of changes in tax laws and regulations in the jurisdictions in which we operate;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363" w:lineRule="exact"/>
        <w:rPr>
          <w:sz w:val="20"/>
          <w:szCs w:val="20"/>
          <w:color w:val="auto"/>
        </w:rPr>
      </w:pPr>
    </w:p>
    <w:p>
      <w:pPr>
        <w:ind w:left="660" w:right="200" w:hanging="328"/>
        <w:spacing w:after="0" w:line="258" w:lineRule="auto"/>
        <w:tabs>
          <w:tab w:leader="none" w:pos="653" w:val="left"/>
        </w:tabs>
        <w:numPr>
          <w:ilvl w:val="0"/>
          <w:numId w:val="22"/>
        </w:numPr>
        <w:rPr>
          <w:rFonts w:ascii="Calibri" w:cs="Calibri" w:eastAsia="Calibri" w:hAnsi="Calibri"/>
          <w:sz w:val="20"/>
          <w:szCs w:val="20"/>
          <w:color w:val="auto"/>
        </w:rPr>
      </w:pPr>
      <w:r>
        <w:rPr>
          <w:rFonts w:ascii="Times New Roman" w:cs="Times New Roman" w:eastAsia="Times New Roman" w:hAnsi="Times New Roman"/>
          <w:sz w:val="18"/>
          <w:szCs w:val="18"/>
          <w:color w:val="auto"/>
        </w:rPr>
        <w:t>the quality of our products, including the strength of features, functionality and integrated multiphysics capabilities; our ability to develop and market new products to address the industry’s rapidly changing technology; failures or errors in our products and services; and increased pricing pressure as a result of the competitive environment in which we operate;</w:t>
      </w:r>
    </w:p>
    <w:p>
      <w:pPr>
        <w:spacing w:after="0" w:line="210" w:lineRule="exact"/>
        <w:rPr>
          <w:rFonts w:ascii="Calibri" w:cs="Calibri" w:eastAsia="Calibri" w:hAnsi="Calibri"/>
          <w:sz w:val="20"/>
          <w:szCs w:val="20"/>
          <w:color w:val="auto"/>
        </w:rPr>
      </w:pPr>
    </w:p>
    <w:p>
      <w:pPr>
        <w:ind w:left="660" w:right="100" w:hanging="328"/>
        <w:spacing w:after="0" w:line="251" w:lineRule="auto"/>
        <w:tabs>
          <w:tab w:leader="none" w:pos="653" w:val="left"/>
        </w:tabs>
        <w:numPr>
          <w:ilvl w:val="0"/>
          <w:numId w:val="22"/>
        </w:numPr>
        <w:rPr>
          <w:rFonts w:ascii="Calibri" w:cs="Calibri" w:eastAsia="Calibri" w:hAnsi="Calibri"/>
          <w:sz w:val="20"/>
          <w:szCs w:val="20"/>
          <w:color w:val="auto"/>
        </w:rPr>
      </w:pPr>
      <w:r>
        <w:rPr>
          <w:rFonts w:ascii="Times New Roman" w:cs="Times New Roman" w:eastAsia="Times New Roman" w:hAnsi="Times New Roman"/>
          <w:sz w:val="18"/>
          <w:szCs w:val="18"/>
          <w:color w:val="auto"/>
        </w:rPr>
        <w:t>investments in complementary companies, products, services and technologies; our ability to complete and successfully integrate our acquisitions and realize the financial and business benefits of the transactions; and the impact indebtedness incurred in connection with any acquisition could have on our operations;</w:t>
      </w:r>
    </w:p>
    <w:p>
      <w:pPr>
        <w:spacing w:after="0" w:line="216" w:lineRule="exact"/>
        <w:rPr>
          <w:rFonts w:ascii="Calibri" w:cs="Calibri" w:eastAsia="Calibri" w:hAnsi="Calibri"/>
          <w:sz w:val="20"/>
          <w:szCs w:val="20"/>
          <w:color w:val="auto"/>
        </w:rPr>
      </w:pPr>
    </w:p>
    <w:p>
      <w:pPr>
        <w:ind w:left="660" w:right="600" w:hanging="328"/>
        <w:spacing w:after="0" w:line="270" w:lineRule="auto"/>
        <w:tabs>
          <w:tab w:leader="none" w:pos="653" w:val="left"/>
        </w:tabs>
        <w:numPr>
          <w:ilvl w:val="0"/>
          <w:numId w:val="22"/>
        </w:numPr>
        <w:rPr>
          <w:rFonts w:ascii="Calibri" w:cs="Calibri" w:eastAsia="Calibri" w:hAnsi="Calibri"/>
          <w:sz w:val="20"/>
          <w:szCs w:val="20"/>
          <w:color w:val="auto"/>
        </w:rPr>
      </w:pPr>
      <w:r>
        <w:rPr>
          <w:rFonts w:ascii="Times New Roman" w:cs="Times New Roman" w:eastAsia="Times New Roman" w:hAnsi="Times New Roman"/>
          <w:sz w:val="18"/>
          <w:szCs w:val="18"/>
          <w:color w:val="auto"/>
        </w:rPr>
        <w:t>investments in global sales and marketing organizations and global business infrastructure; and dependence on our channel partners for the distribution of our products;</w:t>
      </w:r>
    </w:p>
    <w:p>
      <w:pPr>
        <w:spacing w:after="0" w:line="194" w:lineRule="exact"/>
        <w:rPr>
          <w:rFonts w:ascii="Calibri" w:cs="Calibri" w:eastAsia="Calibri" w:hAnsi="Calibri"/>
          <w:sz w:val="20"/>
          <w:szCs w:val="20"/>
          <w:color w:val="auto"/>
        </w:rPr>
      </w:pPr>
    </w:p>
    <w:p>
      <w:pPr>
        <w:ind w:left="660" w:right="20" w:hanging="328"/>
        <w:spacing w:after="0" w:line="251" w:lineRule="auto"/>
        <w:tabs>
          <w:tab w:leader="none" w:pos="653" w:val="left"/>
        </w:tabs>
        <w:numPr>
          <w:ilvl w:val="0"/>
          <w:numId w:val="22"/>
        </w:numPr>
        <w:rPr>
          <w:rFonts w:ascii="Calibri" w:cs="Calibri" w:eastAsia="Calibri" w:hAnsi="Calibri"/>
          <w:sz w:val="20"/>
          <w:szCs w:val="20"/>
          <w:color w:val="auto"/>
        </w:rPr>
      </w:pPr>
      <w:r>
        <w:rPr>
          <w:rFonts w:ascii="Times New Roman" w:cs="Times New Roman" w:eastAsia="Times New Roman" w:hAnsi="Times New Roman"/>
          <w:sz w:val="18"/>
          <w:szCs w:val="18"/>
          <w:color w:val="auto"/>
        </w:rPr>
        <w:t>current and potential future impacts of a global health crisis, natural disaster or catastrophe, and the actions taken to address these events by our customers, suppliers, regulatory authorities and our business, on the global economy and consolidated financial statements, and other public health and safety risks; and government actions or mandates;</w:t>
      </w:r>
    </w:p>
    <w:p>
      <w:pPr>
        <w:spacing w:after="0" w:line="216" w:lineRule="exact"/>
        <w:rPr>
          <w:rFonts w:ascii="Calibri" w:cs="Calibri" w:eastAsia="Calibri" w:hAnsi="Calibri"/>
          <w:sz w:val="20"/>
          <w:szCs w:val="20"/>
          <w:color w:val="auto"/>
        </w:rPr>
      </w:pPr>
    </w:p>
    <w:p>
      <w:pPr>
        <w:ind w:left="660" w:right="500" w:hanging="328"/>
        <w:spacing w:after="0" w:line="270" w:lineRule="auto"/>
        <w:tabs>
          <w:tab w:leader="none" w:pos="653" w:val="left"/>
        </w:tabs>
        <w:numPr>
          <w:ilvl w:val="0"/>
          <w:numId w:val="22"/>
        </w:numPr>
        <w:rPr>
          <w:rFonts w:ascii="Calibri" w:cs="Calibri" w:eastAsia="Calibri" w:hAnsi="Calibri"/>
          <w:sz w:val="20"/>
          <w:szCs w:val="20"/>
          <w:color w:val="auto"/>
        </w:rPr>
      </w:pPr>
      <w:r>
        <w:rPr>
          <w:rFonts w:ascii="Times New Roman" w:cs="Times New Roman" w:eastAsia="Times New Roman" w:hAnsi="Times New Roman"/>
          <w:sz w:val="18"/>
          <w:szCs w:val="18"/>
          <w:color w:val="auto"/>
        </w:rPr>
        <w:t>operational disruptions generally or specifically in connection with transitions to and from remote work environments; and the failure of our technological infrastructure or those of the service providers upon whom we rely including for infrastructure and cloud services;</w:t>
      </w:r>
    </w:p>
    <w:p>
      <w:pPr>
        <w:spacing w:after="0" w:line="184" w:lineRule="exact"/>
        <w:rPr>
          <w:rFonts w:ascii="Calibri" w:cs="Calibri" w:eastAsia="Calibri" w:hAnsi="Calibri"/>
          <w:sz w:val="20"/>
          <w:szCs w:val="20"/>
          <w:color w:val="auto"/>
        </w:rPr>
      </w:pPr>
    </w:p>
    <w:p>
      <w:pPr>
        <w:ind w:left="640" w:hanging="308"/>
        <w:spacing w:after="0"/>
        <w:tabs>
          <w:tab w:leader="none" w:pos="640" w:val="left"/>
        </w:tabs>
        <w:numPr>
          <w:ilvl w:val="0"/>
          <w:numId w:val="22"/>
        </w:numPr>
        <w:rPr>
          <w:rFonts w:ascii="Calibri" w:cs="Calibri" w:eastAsia="Calibri" w:hAnsi="Calibri"/>
          <w:sz w:val="20"/>
          <w:szCs w:val="20"/>
          <w:color w:val="auto"/>
        </w:rPr>
      </w:pPr>
      <w:r>
        <w:rPr>
          <w:rFonts w:ascii="Times New Roman" w:cs="Times New Roman" w:eastAsia="Times New Roman" w:hAnsi="Times New Roman"/>
          <w:sz w:val="18"/>
          <w:szCs w:val="18"/>
          <w:color w:val="auto"/>
        </w:rPr>
        <w:t>our intention to repatriate previously taxed earnings and to reinvest all other earnings of our non-U.S. subsidiaries;</w:t>
      </w:r>
    </w:p>
    <w:p>
      <w:pPr>
        <w:spacing w:after="0" w:line="251" w:lineRule="exact"/>
        <w:rPr>
          <w:rFonts w:ascii="Calibri" w:cs="Calibri" w:eastAsia="Calibri" w:hAnsi="Calibri"/>
          <w:sz w:val="20"/>
          <w:szCs w:val="20"/>
          <w:color w:val="auto"/>
        </w:rPr>
      </w:pPr>
    </w:p>
    <w:p>
      <w:pPr>
        <w:ind w:left="660" w:right="20" w:hanging="328"/>
        <w:spacing w:after="0" w:line="254" w:lineRule="auto"/>
        <w:tabs>
          <w:tab w:leader="none" w:pos="653" w:val="left"/>
        </w:tabs>
        <w:numPr>
          <w:ilvl w:val="0"/>
          <w:numId w:val="22"/>
        </w:numPr>
        <w:rPr>
          <w:rFonts w:ascii="Calibri" w:cs="Calibri" w:eastAsia="Calibri" w:hAnsi="Calibri"/>
          <w:sz w:val="20"/>
          <w:szCs w:val="20"/>
          <w:color w:val="auto"/>
        </w:rPr>
      </w:pPr>
      <w:r>
        <w:rPr>
          <w:rFonts w:ascii="Times New Roman" w:cs="Times New Roman" w:eastAsia="Times New Roman" w:hAnsi="Times New Roman"/>
          <w:sz w:val="18"/>
          <w:szCs w:val="18"/>
          <w:color w:val="auto"/>
        </w:rPr>
        <w:t>plans for future capital spending; the extent of corporate benefits from such spending including with respect to customer relationship management; and higher than anticipated costs for research and development or a slowdown in our research and development activities;</w:t>
      </w:r>
    </w:p>
    <w:p>
      <w:pPr>
        <w:spacing w:after="0" w:line="211" w:lineRule="exact"/>
        <w:rPr>
          <w:rFonts w:ascii="Calibri" w:cs="Calibri" w:eastAsia="Calibri" w:hAnsi="Calibri"/>
          <w:sz w:val="20"/>
          <w:szCs w:val="20"/>
          <w:color w:val="auto"/>
        </w:rPr>
      </w:pPr>
    </w:p>
    <w:p>
      <w:pPr>
        <w:ind w:left="660" w:right="520" w:hanging="328"/>
        <w:spacing w:after="0" w:line="258" w:lineRule="auto"/>
        <w:tabs>
          <w:tab w:leader="none" w:pos="653" w:val="left"/>
        </w:tabs>
        <w:numPr>
          <w:ilvl w:val="0"/>
          <w:numId w:val="22"/>
        </w:numPr>
        <w:rPr>
          <w:rFonts w:ascii="Calibri" w:cs="Calibri" w:eastAsia="Calibri" w:hAnsi="Calibri"/>
          <w:sz w:val="20"/>
          <w:szCs w:val="20"/>
          <w:color w:val="auto"/>
        </w:rPr>
      </w:pPr>
      <w:r>
        <w:rPr>
          <w:rFonts w:ascii="Times New Roman" w:cs="Times New Roman" w:eastAsia="Times New Roman" w:hAnsi="Times New Roman"/>
          <w:sz w:val="18"/>
          <w:szCs w:val="18"/>
          <w:color w:val="auto"/>
        </w:rPr>
        <w:t>our ability to execute on our strategies related to environmental, social, and governance matters, and meet evolving and varied expectations, including as a result of evolving regulatory and other standards, processes, and assumptions, the pace of scientific and technological developments, increased costs and the availability of requisite financing, and changes in carbon markets; and</w:t>
      </w:r>
    </w:p>
    <w:p>
      <w:pPr>
        <w:spacing w:after="0" w:line="200" w:lineRule="exact"/>
        <w:rPr>
          <w:rFonts w:ascii="Calibri" w:cs="Calibri" w:eastAsia="Calibri" w:hAnsi="Calibri"/>
          <w:sz w:val="20"/>
          <w:szCs w:val="20"/>
          <w:color w:val="auto"/>
        </w:rPr>
      </w:pPr>
    </w:p>
    <w:p>
      <w:pPr>
        <w:ind w:left="640" w:hanging="308"/>
        <w:spacing w:after="0"/>
        <w:tabs>
          <w:tab w:leader="none" w:pos="640" w:val="left"/>
        </w:tabs>
        <w:numPr>
          <w:ilvl w:val="0"/>
          <w:numId w:val="22"/>
        </w:numPr>
        <w:rPr>
          <w:rFonts w:ascii="Calibri" w:cs="Calibri" w:eastAsia="Calibri" w:hAnsi="Calibri"/>
          <w:sz w:val="20"/>
          <w:szCs w:val="20"/>
          <w:color w:val="auto"/>
        </w:rPr>
      </w:pPr>
      <w:r>
        <w:rPr>
          <w:rFonts w:ascii="Times New Roman" w:cs="Times New Roman" w:eastAsia="Times New Roman" w:hAnsi="Times New Roman"/>
          <w:sz w:val="18"/>
          <w:szCs w:val="18"/>
          <w:color w:val="auto"/>
        </w:rPr>
        <w:t>other risks and uncertainties described in our reports filed from time to time with the Securities and Exchange Commission (SEC).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document refers to a proposed transaction between Synopsys and Ansys. In connection with the proposed transaction, Synopsys filed with the SEC, and the SEC has declared effective on April 17, 2024, a registration statement on Form S-4 (File No. 333-277912), that included a prospectus with respect to the shares of common stock of Synopsys to be issued in the proposed transaction and a proxy statement of Ansys and is referred to as the proxy statement/prospectus. Each party may also file other documents regarding the proposed transaction with the SEC. This document is not a substitute for the proxy statement/prospectus or registration statement or any other document that Synopsys or Ansys may file with the SEC. The definitive proxy statement/prospectus will be mailed to all Ansys stockholders. INVESTORS AND SECURITY HOLDERS ARE URGED TO READ THE REGISTRATION STATEMENT, PROXY STATEMENT/PROSPECTUS AND ALL OTHER RELEVANT DOCUMENTS FILED OR THAT WILL BE FILED WITH THE SEC IN CONNECTION WITH THE PROPOSED TRANSACTION, AS WELL AS ANY AMENDMENTS OR SUPPLEMENTS TO THESE DOCUMENTS, CAREFULLY AND IN THEIR ENTIRETY IF AND WHEN THEY BECOME AVAILABLE BECAUSE THEY CONTAIN OR WILL CONTAIN IMPORTANT INFORMATION ABOUT THE PROPOSED TRANSACTION.</w:t>
      </w: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Investors and security holders may obtain free copies of the registration statement, proxy statement/prospectus and all other relevant documents filed or that will be filed with the SEC by Synopsys or Ansys through the website maintained by the SEC at www.sec.gov.</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36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documents filed by Synopsys with the SEC also may be obtained free of charge at Synopsys’ website at https://investor.synopsys.com/overview/default.aspx or upon written request to Synopsys at Synopsys, Inc., 675 Almanor Avenue, Sunnyvale, California 94085, Attention: Investor Relations. The documents filed by Ansys with the SEC also may be obtained free of charge at Ansys’ website at https://investors.ansys.com/ or upon written request to kelsey.debriyn@ansys.com.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0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Synopsys, Ansys and their respective directors and executive officers may be deemed to be participants in the solicitation of proxies from Ansys’ stockholders in connection with the proposed transaction.</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Information about Ansys’ directors and executive officers and their ownership of Ansys’ common stock is set forth in Ansys’ proxy statement for its 2024 Annual Meeting of Stockholders on Schedule 14A filed with the SEC on April 10, 2024. To the extent that holdings of Ansys’ securities have changed since the amounts printed in Ansys’ proxy statement, such changes have been or will be reflected on Statements of Change in Ownership on Form 4 filed with the SEC. Information about Synopsys’ directors and executive officers is set forth in Synopsys’ proxy statement for its 2024 Annual Meeting of Stockholders on Schedule 14A filed with the SEC on February 16, 2024 and Synopsys’ subsequent filings with the SEC. Additional information regarding the direct and indirect interests of those persons and other persons who may be deemed participants in the proposed transaction may be obtained by reading the proxy statement/prospectus filed by Synopsys and declared effective by the SEC on April 17, 2024, and any other relevant documents that are filed with the SEC relating to the proposed transaction. You may obtain free copies of these documents as described in the preceding paragraph.</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document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discussed below are on a GAAP basis unless otherwise stated.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Compared to Three Months Ended March 31,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6"/>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center"/>
              <w:ind w:right="115"/>
              <w:spacing w:after="0" w:line="135"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GAAP</w:t>
            </w:r>
          </w:p>
        </w:tc>
        <w:tc>
          <w:tcPr>
            <w:tcW w:w="200" w:type="dxa"/>
            <w:vAlign w:val="bottom"/>
            <w:shd w:val="clear" w:color="auto" w:fill="CCEEFF"/>
          </w:tcPr>
          <w:p>
            <w:pPr>
              <w:spacing w:after="0"/>
              <w:rPr>
                <w:sz w:val="11"/>
                <w:szCs w:val="11"/>
                <w:color w:val="auto"/>
              </w:rPr>
            </w:pPr>
          </w:p>
        </w:tc>
        <w:tc>
          <w:tcPr>
            <w:tcW w:w="1200" w:type="dxa"/>
            <w:vAlign w:val="bottom"/>
            <w:gridSpan w:val="3"/>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GAAP</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ind w:left="500"/>
              <w:spacing w:after="0" w:line="135"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34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lease licenses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94,800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95,392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147,922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Perpetual licenses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3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Software licenses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160,321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289,340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16,944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Maintenance and service</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306,284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466,605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509,447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Revenue for the quarter ended March 31, 2024 decreased 8.4% compared to the quarter ended March 31, 2023, or 7.6% in constant currency. The reported $53.1 million decrease in lease license revenue was attributable to a $53.8 million decrease in value from multi-year licenses, partially offset by a $0.7 million increase in value from annual licenses. Perpetual license revenue, which is derived from new sales during the three months ended March 31, 2024, decreased 8.0%, or 7.7% in constant currency, as compared to the three months ended March 31, 2023. Driving the decrease in perpetual license revenue was a 22.6% decrease in the volume of deals, partially offset by a 14.6% increase in average deal size. Maintenance revenue growth of 7.7%, or 8.8% in constant currency, is correlated with previous license sales and is driven substantially by our existing customer base. The reported $20.7 million growth in maintenance revenue was attributable to a $27.8 million increase in maintenance associated with lease licenses, partially offset by a $7.1 million decrease in maintenance associated with perpetual sales.</w:t>
      </w:r>
    </w:p>
    <w:p>
      <w:pPr>
        <w:spacing w:after="0" w:line="93"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We continue to experience strong demand from our customers for contracts that often include longer-term, subscription leases involving a larger number of our software products. These arrangements typically involve a higher overall transaction price. The upfront recognition of license revenue related to these larger transactions can result in significant subscription lease revenue volatility. Specifically, the first quarter's operating results reflect a structural timing dynamic affected by the renewal base this quarter in which fewer lease contracts were up for renewal, resulting in comparatively lower up-front lease license revenue recognition. Software products, across a large variety of applications and industries, are increasingly distributed in software-as-a-service, cloud and other subscription environments in which the licensing approach is time-based rather than perpetual. This preference could result in a shift from perpetual licenses to time-based licenses, such as subscription leases, over the long term.</w:t>
      </w:r>
    </w:p>
    <w:p>
      <w:pPr>
        <w:spacing w:after="0" w:line="7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With respect to revenue, on average for the quarter ended March 31, 2024, the U.S. Dollar was 2.0% stronger, when measured against our foreign currencies, than for the quarter ended March 31, 2023. The table below presents the net impacts of currency fluctuations on revenue for the quarter ended March 31, 2024. Amounts in parenthesis indicate an adverse impact from currency fluctuations.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Pr>
          <w:p>
            <w:pPr>
              <w:spacing w:after="0"/>
              <w:rPr>
                <w:sz w:val="13"/>
                <w:szCs w:val="13"/>
                <w:color w:val="auto"/>
              </w:rPr>
            </w:pP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94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28"/>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(4,289)</w:t>
            </w:r>
          </w:p>
        </w:tc>
        <w:tc>
          <w:tcPr>
            <w:tcW w:w="0" w:type="dxa"/>
            <w:vAlign w:val="bottom"/>
          </w:tcPr>
          <w:p>
            <w:pPr>
              <w:spacing w:after="0"/>
              <w:rPr>
                <w:sz w:val="1"/>
                <w:szCs w:val="1"/>
                <w:color w:val="auto"/>
              </w:rPr>
            </w:pPr>
          </w:p>
        </w:tc>
      </w:tr>
      <w:tr>
        <w:trPr>
          <w:trHeight w:val="22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Korean Won</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(955)</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1,206</w:t>
            </w: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(3,903)</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percentage of revenue, our international and domestic revenues, and our direct and indirect revenues, were as follows:</w:t>
      </w:r>
    </w:p>
    <w:p>
      <w:pPr>
        <w:spacing w:after="0" w:line="246"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9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r>
      <w:tr>
        <w:trPr>
          <w:trHeight w:val="229"/>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42.9 %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48.4 %</w:t>
            </w:r>
          </w:p>
        </w:tc>
      </w:tr>
      <w:tr>
        <w:trPr>
          <w:trHeight w:val="270"/>
        </w:trPr>
        <w:tc>
          <w:tcPr>
            <w:tcW w:w="79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29"/>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66.5 %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76.3 %</w:t>
            </w:r>
          </w:p>
        </w:tc>
      </w:tr>
      <w:tr>
        <w:trPr>
          <w:trHeight w:val="230"/>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Revenue and Backlog:</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Deferred revenue consists of billings made or payments received in advance of revenue recognition from customer agreements. The deferred revenue on our condensed consolidated balance sheet does not represent the total value of annual or multi-year, noncancellable agreements. Our backlog represents deferred revenue associated with installment billings for periods beyond the current quarterly billing cycle and committed contracts with start dates beyond the end of the current period. Our deferred revenue and backlog as of March 31, 2024 and December 31, 2023 consisted of the following:</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80" w:type="dxa"/>
            <w:vAlign w:val="bottom"/>
            <w:vMerge w:val="continue"/>
          </w:tcPr>
          <w:p>
            <w:pPr>
              <w:spacing w:after="0"/>
              <w:rPr>
                <w:sz w:val="15"/>
                <w:szCs w:val="15"/>
                <w:color w:val="auto"/>
              </w:rPr>
            </w:pPr>
          </w:p>
        </w:tc>
        <w:tc>
          <w:tcPr>
            <w:tcW w:w="132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454,601</w:t>
            </w:r>
          </w:p>
        </w:tc>
        <w:tc>
          <w:tcPr>
            <w:tcW w:w="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433,167</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21,434</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914,852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433,106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481,746</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1,369,453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866,273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503,180</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14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80" w:type="dxa"/>
            <w:vAlign w:val="bottom"/>
          </w:tcPr>
          <w:p>
            <w:pPr>
              <w:spacing w:after="0"/>
              <w:rPr>
                <w:sz w:val="16"/>
                <w:szCs w:val="16"/>
                <w:color w:val="auto"/>
              </w:rPr>
            </w:pPr>
          </w:p>
        </w:tc>
        <w:tc>
          <w:tcPr>
            <w:tcW w:w="13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229"/>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479,754</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457,514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22,240</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992,830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552,951</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1,472,584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575,191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associated with deferred revenue and backlog that will be recognized in the subsequent twelve months is classified as current in the tables above.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Sales and Operating Expenses: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tables below reflect our operating results on both a GAAP and constant currency basis. Amounts included in the discussions that follow each table are provided in constant currency and are inclusive of costs related to our acquisitions. The impact of foreign exchange translation is discussed separately, where material.</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GAAP</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w w:val="95"/>
              </w:rPr>
              <w:t>GAAP</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1"/>
                <w:szCs w:val="11"/>
                <w:color w:val="auto"/>
              </w:rPr>
            </w:pP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center"/>
              <w:ind w:right="35"/>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7"/>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except percentages)</w:t>
            </w:r>
          </w:p>
        </w:tc>
        <w:tc>
          <w:tcPr>
            <w:tcW w:w="14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Software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10,044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licenses</w:t>
            </w:r>
          </w:p>
        </w:tc>
        <w:tc>
          <w:tcPr>
            <w:tcW w:w="14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75"/>
        </w:trPr>
        <w:tc>
          <w:tcPr>
            <w:tcW w:w="17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Maintenance</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36,139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and service</w:t>
            </w: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36,295</w:t>
            </w: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17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cost of</w:t>
            </w: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68,667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68,688</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397,938</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401,820</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441,795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(43,857)</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(39,975)</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Software Licenses: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decrease in the cost of software licenses was primarily due to decreased third-party royalties of $1.7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in amortization expense was primarily due to recently acquired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reduction in gross profit was a result of the decrease in revenue and increase in the cost of sales.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GAAP</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w w:val="95"/>
              </w:rPr>
              <w:t>GAAP</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1"/>
                <w:szCs w:val="11"/>
                <w:color w:val="auto"/>
              </w:rPr>
            </w:pP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center"/>
              <w:ind w:right="35"/>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7"/>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except percentages)</w:t>
            </w:r>
          </w:p>
        </w:tc>
        <w:tc>
          <w:tcPr>
            <w:tcW w:w="14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Selling, general</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219,643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administrative</w:t>
            </w:r>
          </w:p>
        </w:tc>
        <w:tc>
          <w:tcPr>
            <w:tcW w:w="14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220,609</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31,059</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32,025</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Research and</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development</w:t>
            </w:r>
          </w:p>
        </w:tc>
        <w:tc>
          <w:tcPr>
            <w:tcW w:w="14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128,382</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120,335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1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6,145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156"/>
        </w:trPr>
        <w:tc>
          <w:tcPr>
            <w:tcW w:w="17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operating</w:t>
            </w: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354,599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355,083</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314,100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40,499</w:t>
            </w:r>
          </w:p>
        </w:tc>
        <w:tc>
          <w:tcPr>
            <w:tcW w:w="10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40,983</w:t>
            </w:r>
          </w:p>
        </w:tc>
        <w:tc>
          <w:tcPr>
            <w:tcW w:w="10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43,339</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46,737</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127,695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(84,356)</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(80,958)</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in selling, general and administrative costs was primarily due to the following:</w:t>
      </w:r>
    </w:p>
    <w:p>
      <w:pPr>
        <w:spacing w:after="0" w:line="11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acquisition costs of $12.1 million, primarily due to costs related to the Merger Agreement with Synopsys.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stock-based compensation of $10.3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salaries of $7.1 million.</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anticipate that we will continue to make targeted investments in our global sales and marketing organizations and our global business infrastructure to enhance and support our revenue-generating activities.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in research and development costs was primarily due to the following:</w:t>
      </w:r>
    </w:p>
    <w:p>
      <w:pPr>
        <w:spacing w:after="0" w:line="11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salaries of $5.8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stock-based compensation of $3.7 million.</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have traditionally invested significant resources in research and development activities and expect to continue to make investments in expanding the ease of use and capabilities of our broad portfolio of simulation software products.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impacts from currency fluctuations resulted in decreased operating income of $3.4 million for the quarter ended March 31, 2024 as compared to the quarter ended March 31, 2023.</w:t>
      </w:r>
    </w:p>
    <w:p>
      <w:pPr>
        <w:spacing w:after="0" w:line="106"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Interest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income for the three months ended March 31, 2024 was $11.0 million as compared to $4.1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2023. Interest income increased as a result of a higher invested cash balance, a higher interest rate environment and the related increase in the average rate of return on invested cash balances.</w:t>
      </w:r>
    </w:p>
    <w:p>
      <w:pPr>
        <w:spacing w:after="0" w:line="119"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Interest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for the quarter ended March 31, 2024 was $12.4 million as compared to $10.8 million for the quarter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due to a higher interest rate environment.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Expense,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expense consisted primarily of net foreign currency losses during the three months ended March 31, 2024 and 2023.</w:t>
      </w: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income before income tax provision, income tax provision and effective tax rates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b w:val="1"/>
                <w:bCs w:val="1"/>
                <w:color w:val="auto"/>
              </w:rPr>
              <w:t>40,958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120,838</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7"/>
              <w:spacing w:after="0"/>
              <w:rPr>
                <w:sz w:val="20"/>
                <w:szCs w:val="20"/>
                <w:color w:val="auto"/>
              </w:rPr>
            </w:pPr>
            <w:r>
              <w:rPr>
                <w:rFonts w:ascii="Times New Roman" w:cs="Times New Roman" w:eastAsia="Times New Roman" w:hAnsi="Times New Roman"/>
                <w:sz w:val="18"/>
                <w:szCs w:val="18"/>
                <w:b w:val="1"/>
                <w:bCs w:val="1"/>
                <w:color w:val="auto"/>
              </w:rPr>
              <w:t>6,180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20,216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decrease in the effective tax rate for the three months ended March 31, 2024 was a result of increased benefits related to research and development credits and stock-based compensation.</w:t>
      </w:r>
    </w:p>
    <w:p>
      <w:pPr>
        <w:spacing w:after="0" w:line="5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When compared to the federal and state combined statutory rate for each respective period, the effective tax rates for the quarters ended March 31, 2024 and March 31, 2023 were favorably impacted by the foreign-derived intangible income (FDII) deduction, stock-based compensation deductions and research and development credits, partially offset by the impact of non-deductible compensation.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net income, diluted earnings per share and weighted average shares used in computing diluted earnings per share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3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20" w:type="dxa"/>
            <w:vAlign w:val="bottom"/>
            <w:tcBorders>
              <w:bottom w:val="single" w:sz="8" w:color="CCEEFF"/>
            </w:tcBorders>
            <w:vMerge w:val="continue"/>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87,780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82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Results</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provide non-GAAP gross profit, non-GAAP gross profit margin, non-GAAP operating income, non-GAAP operating profit margin, non-GAAP net income and non-GAAP diluted earnings per share as supplemental measures to GAAP regarding our operational performance. These financial measures exclude the impact of certain items and, therefore, have not been calculated in accordance with GAAP. A detailed explanation and a reconciliation of each non-GAAP financial measure to its most comparable GAAP financial measure are included below, as applicable.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gridSpan w:val="11"/>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ANSYS, INC. AND SUBSIDIARIES</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40" w:type="dxa"/>
            <w:vAlign w:val="bottom"/>
            <w:gridSpan w:val="1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Reconciliations of GAAP to Non-GAAP Measures</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gridSpan w:val="6"/>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7"/>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3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w w:val="99"/>
              </w:rPr>
              <w:t>Gross Profit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160" w:type="dxa"/>
            <w:vAlign w:val="bottom"/>
          </w:tcPr>
          <w:p>
            <w:pPr>
              <w:spacing w:after="0"/>
              <w:rPr>
                <w:sz w:val="13"/>
                <w:szCs w:val="13"/>
                <w:color w:val="auto"/>
              </w:rPr>
            </w:pPr>
          </w:p>
        </w:tc>
        <w:tc>
          <w:tcPr>
            <w:tcW w:w="1080" w:type="dxa"/>
            <w:vAlign w:val="bottom"/>
            <w:gridSpan w:val="3"/>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Operating</w:t>
            </w:r>
          </w:p>
        </w:tc>
        <w:tc>
          <w:tcPr>
            <w:tcW w:w="20" w:type="dxa"/>
            <w:vAlign w:val="bottom"/>
          </w:tcPr>
          <w:p>
            <w:pPr>
              <w:spacing w:after="0"/>
              <w:rPr>
                <w:sz w:val="13"/>
                <w:szCs w:val="13"/>
                <w:color w:val="auto"/>
              </w:rPr>
            </w:pPr>
          </w:p>
        </w:tc>
        <w:tc>
          <w:tcPr>
            <w:tcW w:w="106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 w:type="dxa"/>
            <w:vAlign w:val="bottom"/>
          </w:tcPr>
          <w:p>
            <w:pPr>
              <w:spacing w:after="0"/>
              <w:rPr>
                <w:sz w:val="13"/>
                <w:szCs w:val="13"/>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EPS - Diluted</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 and per share data)</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GAAP</w:t>
            </w:r>
          </w:p>
        </w:tc>
        <w:tc>
          <w:tcPr>
            <w:tcW w:w="3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397,938</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85.3 %</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43,339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9.3 %</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34,778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3,343</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0.7 %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12.7 %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Excess payroll taxes related to stock-based awards</w:t>
            </w: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from acquisitions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22,484</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4.8 %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 related to business combinations</w:t>
            </w: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 for income tax effect</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6"/>
              </w:rPr>
              <w:t>(0.22)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non-GAAP</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424,143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90.9 %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150,255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32.2 %</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121,996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gridSpan w:val="2"/>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1.39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Diluted weighted average shares were 87,780.</w:t>
            </w:r>
          </w:p>
        </w:tc>
        <w:tc>
          <w:tcPr>
            <w:tcW w:w="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6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7"/>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3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160" w:type="dxa"/>
            <w:vAlign w:val="bottom"/>
          </w:tcPr>
          <w:p>
            <w:pPr>
              <w:spacing w:after="0"/>
              <w:rPr>
                <w:sz w:val="13"/>
                <w:szCs w:val="13"/>
                <w:color w:val="auto"/>
              </w:rPr>
            </w:pPr>
          </w:p>
        </w:tc>
        <w:tc>
          <w:tcPr>
            <w:tcW w:w="1080" w:type="dxa"/>
            <w:vAlign w:val="bottom"/>
            <w:gridSpan w:val="3"/>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Operating</w:t>
            </w:r>
          </w:p>
        </w:tc>
        <w:tc>
          <w:tcPr>
            <w:tcW w:w="20" w:type="dxa"/>
            <w:vAlign w:val="bottom"/>
          </w:tcPr>
          <w:p>
            <w:pPr>
              <w:spacing w:after="0"/>
              <w:rPr>
                <w:sz w:val="13"/>
                <w:szCs w:val="13"/>
                <w:color w:val="auto"/>
              </w:rPr>
            </w:pPr>
          </w:p>
        </w:tc>
        <w:tc>
          <w:tcPr>
            <w:tcW w:w="10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 w:type="dxa"/>
            <w:vAlign w:val="bottom"/>
          </w:tcPr>
          <w:p>
            <w:pPr>
              <w:spacing w:after="0"/>
              <w:rPr>
                <w:sz w:val="13"/>
                <w:szCs w:val="13"/>
                <w:color w:val="auto"/>
              </w:rPr>
            </w:pPr>
          </w:p>
        </w:tc>
        <w:tc>
          <w:tcPr>
            <w:tcW w:w="12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EPS - Diluted</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 and per share data)</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GAAP</w:t>
            </w:r>
          </w:p>
        </w:tc>
        <w:tc>
          <w:tcPr>
            <w:tcW w:w="400" w:type="dxa"/>
            <w:vAlign w:val="bottom"/>
            <w:tcBorders>
              <w:top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441,795</w:t>
            </w:r>
          </w:p>
        </w:tc>
        <w:tc>
          <w:tcPr>
            <w:tcW w:w="40" w:type="dxa"/>
            <w:vAlign w:val="bottom"/>
            <w:tcBorders>
              <w:top w:val="single" w:sz="8" w:color="auto"/>
            </w:tcBorders>
            <w:gridSpan w:val="2"/>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86.7 %</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127,695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25.1 %</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Excess payroll taxes related to stock-based awards</w:t>
            </w: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from acquisitions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19,618</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 related to business combinations</w:t>
            </w: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 for income tax effect</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48"/>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non-GAAP</w:t>
            </w:r>
          </w:p>
        </w:tc>
        <w:tc>
          <w:tcPr>
            <w:tcW w:w="4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464,575</w:t>
            </w:r>
          </w:p>
        </w:tc>
        <w:tc>
          <w:tcPr>
            <w:tcW w:w="40" w:type="dxa"/>
            <w:vAlign w:val="bottom"/>
            <w:tcBorders>
              <w:top w:val="single" w:sz="8" w:color="auto"/>
              <w:bottom w:val="single" w:sz="8" w:color="auto"/>
            </w:tcBorders>
            <w:gridSpan w:val="2"/>
            <w:shd w:val="clear" w:color="auto" w:fill="CCEEFF"/>
          </w:tcPr>
          <w:p>
            <w:pPr>
              <w:spacing w:after="0"/>
              <w:rPr>
                <w:sz w:val="21"/>
                <w:szCs w:val="21"/>
                <w:color w:val="auto"/>
              </w:rPr>
            </w:pP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202,933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39.8 %</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161,763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Diluted weighted average shares were 87,431.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use non-GAAP financial measures (a) to evaluate our historical and prospective financial performance as well as our performance relative to our competitors, (b) to set internal sales targets and spending budgets, (c) to allocate resources, (d) to measure operational profitability and the accuracy of forecasting, (e) to assess financial discipline over operational expenditures and (f) as an important factor in determining variable compensation for management and employees. In addition, many financial analysts that follow us focus on and publish both historical results and future projections based on non-GAAP financial measures. We believe that it is in the best interest of our investors to provide this information to analysts so that they accurately report the non-GAAP financial information. Moreover, investors have historically requested, and we have historically reported, these non-GAAP financial measures as a means of providing consistent and comparable information with past reports of financial results.</w:t>
      </w:r>
    </w:p>
    <w:p>
      <w:pPr>
        <w:spacing w:after="0" w:line="13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While we believe that these non-GAAP financial measures provide useful supplemental information to investors, there are limitations associated with the use of these non-GAAP financial measures. These non-GAAP financial measures are not prepared in accordance with GAAP, are not reported by all our competitors and may not be directly comparable to similarly titled measures of our competitors due to potential differences in the exact method of calculation. We compensate for these limitations by using these non-GAAP financial measures as supplements to GAAP financial measures and by reviewing the reconciliations of the non-GAAP financial measures to their most comparable GAAP financial measures.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adjustments to these non-GAAP financial measures, and the basis for such adjustments, are outlined below:</w:t>
      </w:r>
    </w:p>
    <w:p>
      <w:pPr>
        <w:spacing w:after="0" w:line="1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Amortization of intangible assets from acquisitions. </w:t>
      </w:r>
      <w:r>
        <w:rPr>
          <w:rFonts w:ascii="Times New Roman" w:cs="Times New Roman" w:eastAsia="Times New Roman" w:hAnsi="Times New Roman"/>
          <w:sz w:val="18"/>
          <w:szCs w:val="18"/>
          <w:color w:val="auto"/>
        </w:rPr>
        <w:t>We incur amortization of intangible assets, included in our GAAP presentation of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related to various acquisitions we have made. We exclude these expenses for the purpose of calculating non-GAAP gross profit, non-GAAP gross profit margin, non-GAAP operating income, non-GAAP operating profit margin, non-GAAP net income and non-GAAP diluted earnings per share when we evaluate our continuing operational performance because these costs are fixed at the time of an acquisition, are then amortized over a period of several years after the acquisition and generally cannot be changed or influenced by us after the acquisition. Accordingly, we do not consider these expenses for purposes of evaluating our performance during the applicable time period after the acquisition, and we exclude such expenses when making decisions to allocate resources. We believe that these non-GAAP financial measures are useful to investors because they allow investors to (a) evaluate the effectiveness of the methodology and information used by us in our financial and operational decision-making, and (b) compare our past reports of financial results as we have historically reported these non-GAAP financial measures.</w:t>
      </w:r>
    </w:p>
    <w:p>
      <w:pPr>
        <w:spacing w:after="0" w:line="1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Stock-based compensation expense</w:t>
      </w:r>
      <w:r>
        <w:rPr>
          <w:rFonts w:ascii="Times New Roman" w:cs="Times New Roman" w:eastAsia="Times New Roman" w:hAnsi="Times New Roman"/>
          <w:sz w:val="18"/>
          <w:szCs w:val="18"/>
          <w:color w:val="auto"/>
        </w:rPr>
        <w:t>. We incur expense related to stock-based compensation included in our GAAP presentation of cost of maintenance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service; research and development expense; and selling, general and administrative expense. This non-GAAP adjustment also includes excess payroll tax expense related to stock-based compensation. Although stock-based compensation is an expense and viewed as a form of compensation, we exclude these expenses for the purpose of calculating non-GAAP gross profit, non-GAAP gross profit margin, non-GAAP operating income, non-GAAP operating profit margin, non-GAAP net income and non-GAAP diluted earnings per share when we evaluate our continuing operational performance. Specifically, we exclude stock-based compensation during our annual budgeting process and our quarterly and annual assessments of our performance. The annual budgeting process is the primary mechanism whereby we allocate resources to various initiatives and operational requirements. Additionally, the annual review by our Board of Directors during which it compares our historical business model and profitability to the planned business model and profitability for the forthcoming year excludes the impact of stock-based compensation. In evaluating the performance of our senior management and department managers, charges related to stock-based compensation are excluded from expenditure and profitability results. In fact, we record stock-based compensation expense into a stand-alone cost center for which no single operational manager is responsible or accountable. In this way, we can review, on a period-to-period basis, each manager’s performance and assess financial discipline over operational expenditures without the effect of stock-based compensation. We believe that these non-GAAP financial measures are useful to investors because they allow investors to (a) evaluate our operating results and the effectiveness of the methodology used by us to review our operating results, and (b) review historical comparability in our financial reporting as well as comparability with competitors’ operating results.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Expenses related to business combinations. </w:t>
      </w:r>
      <w:r>
        <w:rPr>
          <w:rFonts w:ascii="Times New Roman" w:cs="Times New Roman" w:eastAsia="Times New Roman" w:hAnsi="Times New Roman"/>
          <w:sz w:val="18"/>
          <w:szCs w:val="18"/>
          <w:color w:val="auto"/>
        </w:rPr>
        <w:t>We incur expenses for professional services rendered in connection with business combinations,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in our GAAP presentation of selling, general and administrative expense. We also incur other expenses directly related to business combinations, including compensation expenses and concurrent restructuring activities, such as employee severances and other exit costs. These costs are included in our GAAP presentation of selling, general and administrative and research and development expenses. We exclude these acquisition-related expenses for the purpose of calculating non-GAAP operating income, non-GAAP operating profit margin, non-GAAP net income and non-GAAP diluted earnings per share when we evaluate our continuing operational performance, as we generally would not have otherwise incurred these expenses in the periods presented as a part of our operations. We believe that these non-GAAP financial measures are useful to investors because they allow investors to (a) evaluate our operating results and the effectiveness of the methodology used by us to review our operating results, and (b) review historical comparability in our financial reporting as well as comparability with competitors’ operating results.</w:t>
      </w:r>
    </w:p>
    <w:p>
      <w:pPr>
        <w:spacing w:after="0" w:line="13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Non-GAAP tax provision. </w:t>
      </w:r>
      <w:r>
        <w:rPr>
          <w:rFonts w:ascii="Times New Roman" w:cs="Times New Roman" w:eastAsia="Times New Roman" w:hAnsi="Times New Roman"/>
          <w:sz w:val="18"/>
          <w:szCs w:val="18"/>
          <w:color w:val="auto"/>
        </w:rPr>
        <w:t>We utilize a normalized non-GAAP annual effective tax rate (AETR) to calculate non-GAAP measures. This methodology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provides better consistency across interim reporting periods by eliminating the effects of non-recurring items and aligning the non-GAAP tax rate with our expected geographic earnings mix. To project this rate, we analyzed our historic and projected non-GAAP earnings mix by geography along with other factors such as our current tax structure, recurring tax credits and incentives, and expected tax positions. On an annual basis we re-evaluate and update this rate for significant items that may materially affect our projections.</w:t>
      </w:r>
    </w:p>
    <w:p>
      <w:pPr>
        <w:spacing w:after="0" w:line="116"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Non-GAAP financial measures are not in accordance with, or an alternative for, GAAP. Our non-GAAP financial measures are not meant to be considered in isolation or as a substitute for comparable GAAP financial measures and should be read only in conjunction with our consolidated financial statements prepared in accordance with GAAP.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provided a reconciliation of the non-GAAP financial measures to the most directly comparable GAAP financial measures as listed below:</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GAAP Reporting Measure</w:t>
            </w:r>
          </w:p>
        </w:tc>
        <w:tc>
          <w:tcPr>
            <w:tcW w:w="254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Non-GAAP Reporting Measure</w:t>
            </w:r>
          </w:p>
        </w:tc>
      </w:tr>
      <w:tr>
        <w:trPr>
          <w:trHeight w:val="272"/>
        </w:trPr>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540" w:type="dxa"/>
            <w:vAlign w:val="bottom"/>
          </w:tcPr>
          <w:p>
            <w:pPr>
              <w:spacing w:after="0"/>
              <w:rPr>
                <w:sz w:val="23"/>
                <w:szCs w:val="23"/>
                <w:color w:val="auto"/>
              </w:rPr>
            </w:pPr>
          </w:p>
        </w:tc>
        <w:tc>
          <w:tcPr>
            <w:tcW w:w="2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440" w:type="dxa"/>
            <w:vAlign w:val="bottom"/>
          </w:tcPr>
          <w:p>
            <w:pPr>
              <w:spacing w:after="0"/>
              <w:rPr>
                <w:sz w:val="23"/>
                <w:szCs w:val="23"/>
                <w:color w:val="auto"/>
              </w:rPr>
            </w:pPr>
          </w:p>
        </w:tc>
      </w:tr>
      <w:tr>
        <w:trPr>
          <w:trHeight w:val="25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Gross Profit Margin</w:t>
            </w:r>
          </w:p>
        </w:tc>
      </w:tr>
      <w:tr>
        <w:trPr>
          <w:trHeight w:val="25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Operating Income</w:t>
            </w:r>
          </w:p>
        </w:tc>
      </w:tr>
      <w:tr>
        <w:trPr>
          <w:trHeight w:val="25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 Margin</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Operating Profit Margin</w:t>
            </w:r>
          </w:p>
        </w:tc>
      </w:tr>
      <w:tr>
        <w:trPr>
          <w:trHeight w:val="25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Net Income</w:t>
            </w:r>
          </w:p>
        </w:tc>
      </w:tr>
      <w:tr>
        <w:trPr>
          <w:trHeight w:val="261"/>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Non-GAAP Diluted Earnings Per Share</w:t>
            </w:r>
          </w:p>
        </w:tc>
      </w:tr>
    </w:tbl>
    <w:p>
      <w:pPr>
        <w:spacing w:after="0" w:line="1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Constant currency. </w:t>
      </w:r>
      <w:r>
        <w:rPr>
          <w:rFonts w:ascii="Times New Roman" w:cs="Times New Roman" w:eastAsia="Times New Roman" w:hAnsi="Times New Roman"/>
          <w:sz w:val="18"/>
          <w:szCs w:val="18"/>
          <w:color w:val="auto"/>
        </w:rPr>
        <w:t>In addition to the non-GAAP financial measures detailed above, we use constant currency results for financial and operational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decision-making and as a means to evaluate period-to-period comparisons by excluding the effects of foreign currency fluctuations on the reported results. To present this information, the 2024 results for entities whose functional currency is a currency other than the U.S. Dollar were converted to U.S. Dollars at rates that were in effect for the 2023 comparable period, rather than the actual exchange rates in effect for the 2024 period. Constant currency growth rates are calculated by adjusting the 2024 reported amounts by the 2024 currency fluctuation impacts and comparing the adjusted amounts to the 2023 comparable period reported amounts. We believe that these non-GAAP financial measures are useful to investors because they allow investors to</w:t>
      </w:r>
    </w:p>
    <w:p>
      <w:pPr>
        <w:spacing w:after="0" w:line="4" w:lineRule="exact"/>
        <w:rPr>
          <w:sz w:val="20"/>
          <w:szCs w:val="20"/>
          <w:color w:val="auto"/>
        </w:rPr>
      </w:pPr>
    </w:p>
    <w:p>
      <w:pPr>
        <w:ind w:right="560" w:firstLine="8"/>
        <w:spacing w:after="0" w:line="260"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effectiveness of the methodology and information used by us in our financial and operational decision-making, and (b) compare our reported results to our past reports of financial results without the effects of foreign currency fluctuations.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200" w:type="dxa"/>
            <w:vAlign w:val="bottom"/>
          </w:tcPr>
          <w:p>
            <w:pPr>
              <w:spacing w:after="0"/>
              <w:rPr>
                <w:sz w:val="2"/>
                <w:szCs w:val="2"/>
                <w:color w:val="auto"/>
              </w:rPr>
            </w:pPr>
          </w:p>
        </w:tc>
        <w:tc>
          <w:tcPr>
            <w:tcW w:w="1120" w:type="dxa"/>
            <w:vAlign w:val="bottom"/>
            <w:gridSpan w:val="2"/>
            <w:vMerge w:val="restart"/>
          </w:tcPr>
          <w:p>
            <w:pPr>
              <w:ind w:left="80"/>
              <w:spacing w:after="0" w:line="15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2"/>
                <w:szCs w:val="2"/>
                <w:color w:val="auto"/>
              </w:rPr>
            </w:pPr>
          </w:p>
        </w:tc>
        <w:tc>
          <w:tcPr>
            <w:tcW w:w="1180" w:type="dxa"/>
            <w:vAlign w:val="bottom"/>
            <w:gridSpan w:val="2"/>
            <w:vMerge w:val="restart"/>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0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6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1,070,609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860,390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210,219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8"/>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1,274,597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1,160,273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Short-Term Investments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Cash and cash equivalents consist primarily of highly liquid investments such as money market funds and deposits held at major banks. Short-term investments consist of available-for-sale debt securities with remaining maturities greater than three months at the date of purchase and time deposits. The following table presents our foreign and domestic holdings of cash, cash equivalents and short-term investments as of March 31, 2024 and December 31, 2023: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220" w:type="dxa"/>
            <w:vAlign w:val="bottom"/>
          </w:tcPr>
          <w:p>
            <w:pPr>
              <w:spacing w:after="0"/>
              <w:rPr>
                <w:sz w:val="13"/>
                <w:szCs w:val="13"/>
                <w:color w:val="auto"/>
              </w:rPr>
            </w:pPr>
          </w:p>
        </w:tc>
        <w:tc>
          <w:tcPr>
            <w:tcW w:w="10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60" w:type="dxa"/>
            <w:vAlign w:val="bottom"/>
          </w:tcPr>
          <w:p>
            <w:pPr>
              <w:spacing w:after="0"/>
              <w:rPr>
                <w:sz w:val="13"/>
                <w:szCs w:val="13"/>
                <w:color w:val="auto"/>
              </w:rPr>
            </w:pPr>
          </w:p>
        </w:tc>
        <w:tc>
          <w:tcPr>
            <w:tcW w:w="11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86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5"/>
        </w:trPr>
        <w:tc>
          <w:tcPr>
            <w:tcW w:w="6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670,428</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529,092</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400,181</w:t>
            </w:r>
          </w:p>
        </w:tc>
        <w:tc>
          <w:tcPr>
            <w:tcW w:w="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331,298</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1,070,609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860,390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general, it is our intention to permanently reinvest all earnings in excess of previously taxed amounts. Substantially all of the pre-2018 earnings of our non-U.S. subsidiaries were taxed through the transition tax and post-2018 current earnings are taxed as part of global intangible low-taxed income tax expense. These taxes increase our previously taxed earnings and allow for the repatriation of the majority of our foreign earnings without any residual U.S. federal tax. Unrecognized provisions for taxes on indefinitely reinvested undistributed earnings of foreign subsidiaries would not be significant.</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amount of cash, cash equivalents and short-term investments held by foreign subsidiaries is subject to translation adjustments caused by changes in foreign currency exchange rates as of the end of each respective reporting period, the offset to which is recorded in accumulated other comprehensive loss on our condensed consolidated balance sheet.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156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282,817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260,766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22,051</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increased during the three months ended March 31, 2024 compared to the three months ended March 31, 2023. The increase in net cash provided by operating activities was a result of increased customer receipts driven primarily by ACV growth, partially offset by increased payments related to higher operating expenses and income tax payments, as compared to the three months ended March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156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(34,436)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93,954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decreased by $94.0 million during the three months ended March 31, 2024 compared to the three months ended March 31, 2023 due to decreased acquisition-related net cash outlays of $120.6 million, partially offset by increased purchases of short-term investments of $19.9 million and capital expenditures of $3.7 million. We currently plan capital spending of $40.0 million to $50.0 million during fiscal year 2024 as compared to the $25.3 million that was spent in fiscal year 2023. The level of spending will depend on various factors, including the growth of the business and general economic conditions.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(54,643)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(240,828)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decreased during the three months ended March 31, 2024 compared to the three months ended March 31, 2023 due to decreased stock repurchases of $196.5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Cash Flow Information</w:t>
      </w:r>
    </w:p>
    <w:p>
      <w:pPr>
        <w:spacing w:after="0" w:line="175"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On June 30, 2022, we entered into a credit agreement (as amended, the 2022 Credit Agreement) with PNC Bank, National Association as administrative agent, swing line lender, and an L/C issuer, the lenders party thereto, and the other L/C issuers party thereto. The 2022 Credit Agreement refinanced our previous credit agreements in their entirety. The 2022 Credit Agreement provides for a $755.0 million unsecured term loan facility and a $500.0 million unsecured revolving loan facility, which includes a $50.0 million sublimit for the issuance of letters of credit. Terms used in this description of the 2022 Credit Agreement with initial capital letters that are not otherwise defined herein are as defined in the 2022 Credit Agreement.</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March 31, 2024, the carrying value of our term loan was $754.0 million, with no principal payments due in the next twelve months. Borrowings under the term loan and revolving loan facilities accrue interest at a rate that is based on the Term SOFR plus an applicable margin or at the base rate plus an applicable margin, at our election. The base rate is the highest of (i) the Overnight Bank Funding Rate, plus 0.500%, (ii) the PNC Bank, National Association prime rate, and (iii) Daily Simple SOFR plus an adjustment for SOFR plus 1.00%. The applicable margin for the borrowings is a percentage per annum based on the lower of (1) a pricing level determined by our then-current consolidated net leverage ratio and (2) a pricing level determined by our public debt rating (if available).</w:t>
      </w:r>
    </w:p>
    <w:p>
      <w:pPr>
        <w:spacing w:after="0" w:line="13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September 29, 2023, the 2022 Credit Agreement was amended to provide for an interest rate adjustment (Sustainability Rate Adjustment) based upon the achievement of certain environmental, social and governance key performance indicators (KPIs). The Sustainability Rate Adjustment range is +/-0.05% and will be adjusted annually based on the KPIs of the preceding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rate in effect for the second quarter of 2024 under the 2022 Credit Agreement is 6.23%.</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previously entered into operating lease commitments, primarily for our domestic and international offices. The commitments related to these operating leases is $130.6 million, of which $26.2 million is due in the next twelve months. There</w:t>
      </w:r>
    </w:p>
    <w:p>
      <w:pPr>
        <w:ind w:right="300"/>
        <w:spacing w:after="0" w:line="255" w:lineRule="auto"/>
        <w:rPr>
          <w:sz w:val="20"/>
          <w:szCs w:val="20"/>
          <w:color w:val="auto"/>
        </w:rPr>
      </w:pPr>
      <w:r>
        <w:rPr>
          <w:rFonts w:ascii="Times New Roman" w:cs="Times New Roman" w:eastAsia="Times New Roman" w:hAnsi="Times New Roman"/>
          <w:sz w:val="18"/>
          <w:szCs w:val="18"/>
          <w:color w:val="auto"/>
        </w:rPr>
        <w:t>were no share repurchases in the first quarter of 2024. For the three months ended March 31, 2023, 650 thousand shares were repurchased at an average price of $302.34 per share, with a total cost of $196.5 million. As of March 31, 2024, 1.1 million shares remained available for repurchase under the program.</w:t>
      </w:r>
    </w:p>
    <w:p>
      <w:pPr>
        <w:spacing w:after="0" w:line="132"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t>We continue to generate positive cash flows from operating activities and believe that the best uses of our excess cash are to invest in the business; acquire or make investments in complementary companies, products, services and technologies; and make payments on our outstanding debt balances. Any future acquisitions may be funded by available cash and investments, cash generated from operations, debt financing or the issuance of additional securities.</w:t>
      </w:r>
    </w:p>
    <w:p>
      <w:pPr>
        <w:spacing w:after="0" w:line="10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that existing cash and cash equivalent balances, together with cash generated from operations and access to our $500.0 million revolving loan facility, will be sufficient to meet our working capital, capital expenditure requirements and contractual obligations through at least the next twelve months and the foreseeable future thereafter. Our cash requirements in the future may also be financed through additional equity or debt financings. However, future disruptions in the capital markets could make financing more challenging, and there can be no assurance that such financing can be obtained on commercially reasonable terms, or at all.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and Other Obligations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significant contractual and other obligations during the three months ended March 31, 2024 as compared to those previously reported within "Management's Discussion and Analysis of Financial Condition and Results of Operations" in our 2023 Form 10-K.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we completed the annual impairment test for goodwill and the indefinite-lived intangible asset and determined that these assets had not been impaired as of the test date, January 1, 2024. No events or circumstances changed during the three months ended March 31, 2024 that would indicate that the fair values of our reporting unit and indefinite-lived intangible asset are below their carrying amounts.</w:t>
      </w:r>
    </w:p>
    <w:p>
      <w:pPr>
        <w:spacing w:after="0" w:line="12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No significant changes have occurred to our critical accounting estimates as previously reported within "Management's Discussion and Analysis of Financial Condition and Results of Operations" in our 2023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Exchange Risk. </w:t>
      </w:r>
      <w:r>
        <w:rPr>
          <w:rFonts w:ascii="Times New Roman" w:cs="Times New Roman" w:eastAsia="Times New Roman" w:hAnsi="Times New Roman"/>
          <w:sz w:val="18"/>
          <w:szCs w:val="18"/>
          <w:color w:val="auto"/>
        </w:rPr>
        <w:t>As we operate in international regions, a portion of our revenue, expenses, cash, accounts receivable and payment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obligations are denominated in foreign currencies. As a result, changes in currency exchange rates will affect our financial position, results of operations and cash flows. We seek to reduce our currency exchange transaction risks primarily through our normal operating and treasury activities, including the use of derivative instruments.</w:t>
      </w:r>
    </w:p>
    <w:p>
      <w:pPr>
        <w:spacing w:after="0" w:line="72"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8"/>
          <w:szCs w:val="18"/>
          <w:color w:val="auto"/>
        </w:rPr>
        <w:t>With respect to revenue, on average for the quarter ended March 31, 2024, the U.S. Dollar was 2.0% stronger, when measured against our foreign currencies, than for the quarter ended March 31, 2023. The table below presents the net impacts of currency fluctuations on revenue for the three months ended March 31, 2024. Amounts in parenthesis indicate a net adverse impact from currency fluctuations.</w:t>
      </w:r>
    </w:p>
    <w:p>
      <w:pPr>
        <w:sectPr>
          <w:pgSz w:w="11900" w:h="16838" w:orient="portrait"/>
          <w:cols w:equalWidth="0" w:num="1">
            <w:col w:w="11220"/>
          </w:cols>
          <w:pgMar w:left="320" w:top="121" w:right="359" w:bottom="1440" w:gutter="0" w:footer="0" w:header="0"/>
        </w:sectPr>
      </w:pP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Japanese Yen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South Korean Won</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Euro</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-6045835</wp:posOffset>
            </wp:positionH>
            <wp:positionV relativeFrom="paragraph">
              <wp:posOffset>13335</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 w:lineRule="exact"/>
        <w:rPr>
          <w:sz w:val="20"/>
          <w:szCs w:val="20"/>
          <w:color w:val="auto"/>
        </w:rPr>
      </w:pPr>
    </w:p>
    <w:p>
      <w:pPr>
        <w:ind w:left="1150" w:hanging="1150"/>
        <w:spacing w:after="0"/>
        <w:tabs>
          <w:tab w:leader="none" w:pos="115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(4,289)</w:t>
      </w:r>
    </w:p>
    <w:p>
      <w:pPr>
        <w:spacing w:after="0" w:line="31" w:lineRule="exact"/>
        <w:rPr>
          <w:rFonts w:ascii="Times New Roman" w:cs="Times New Roman" w:eastAsia="Times New Roman" w:hAnsi="Times New Roman"/>
          <w:sz w:val="18"/>
          <w:szCs w:val="18"/>
          <w:b w:val="1"/>
          <w:bCs w:val="1"/>
          <w:color w:val="auto"/>
        </w:rPr>
      </w:pPr>
    </w:p>
    <w:p>
      <w:pPr>
        <w:ind w:left="129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-6045835</wp:posOffset>
            </wp:positionH>
            <wp:positionV relativeFrom="paragraph">
              <wp:posOffset>14605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1,206</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-6045835</wp:posOffset>
            </wp:positionH>
            <wp:positionV relativeFrom="paragraph">
              <wp:posOffset>14605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p>
      <w:pPr>
        <w:ind w:left="1150" w:hanging="1150"/>
        <w:spacing w:after="0"/>
        <w:tabs>
          <w:tab w:leader="none" w:pos="115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10972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8810" w:space="720"/>
            <w:col w:w="1690"/>
          </w:cols>
          <w:pgMar w:left="320" w:top="121" w:right="359" w:bottom="1440" w:gutter="0" w:footer="0" w:header="0"/>
          <w:type w:val="continuous"/>
        </w:sectPr>
      </w:pPr>
    </w:p>
    <w:p>
      <w:pPr>
        <w:spacing w:after="0" w:line="28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impacts from currency fluctuations resulted in decreased operating income of $3.4 million for the three months ended March 31, 2024 as compared to the three months ended March 31, 2023.</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hypothetical 10% strengthening in the U.S. Dollar against other currencies would have decreased our revenue by $20.0 million and decreased our operating income by $4.8 million for the three months ended March 31, 2024.</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most meaningful currency impacts on revenue and operating income are typically attributable to U.S. Dollar exchange rate changes against the Euro and Japanese Yen. Historical exchange rates for these currency pairs are reflected in the charts below:</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40" w:type="dxa"/>
            <w:vAlign w:val="bottom"/>
            <w:gridSpan w:val="5"/>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Period-End Exchange Rates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1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EUR/USD</w:t>
            </w:r>
          </w:p>
        </w:tc>
        <w:tc>
          <w:tcPr>
            <w:tcW w:w="20" w:type="dxa"/>
            <w:vAlign w:val="bottom"/>
          </w:tcPr>
          <w:p>
            <w:pPr>
              <w:spacing w:after="0"/>
              <w:rPr>
                <w:sz w:val="16"/>
                <w:szCs w:val="16"/>
                <w:color w:val="auto"/>
              </w:rPr>
            </w:pPr>
          </w:p>
        </w:tc>
        <w:tc>
          <w:tcPr>
            <w:tcW w:w="146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USD/JPY</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8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80" w:type="dxa"/>
            <w:vAlign w:val="bottom"/>
            <w:tcBorders>
              <w:top w:val="single" w:sz="8" w:color="auto"/>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1.08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151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48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1.10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2023</w:t>
            </w:r>
          </w:p>
        </w:tc>
        <w:tc>
          <w:tcPr>
            <w:tcW w:w="14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517"/>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gridSpan w:val="5"/>
          </w:tcPr>
          <w:p>
            <w:pPr>
              <w:jc w:val="right"/>
              <w:ind w:right="685"/>
              <w:spacing w:after="0"/>
              <w:rPr>
                <w:sz w:val="20"/>
                <w:szCs w:val="20"/>
                <w:color w:val="auto"/>
              </w:rPr>
            </w:pPr>
            <w:r>
              <w:rPr>
                <w:rFonts w:ascii="Times New Roman" w:cs="Times New Roman" w:eastAsia="Times New Roman" w:hAnsi="Times New Roman"/>
                <w:sz w:val="14"/>
                <w:szCs w:val="14"/>
                <w:b w:val="1"/>
                <w:bCs w:val="1"/>
                <w:color w:val="auto"/>
              </w:rPr>
              <w:t>Average Exchange Rates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1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EUR/USD</w:t>
            </w:r>
          </w:p>
        </w:tc>
        <w:tc>
          <w:tcPr>
            <w:tcW w:w="20" w:type="dxa"/>
            <w:vAlign w:val="bottom"/>
          </w:tcPr>
          <w:p>
            <w:pPr>
              <w:spacing w:after="0"/>
              <w:rPr>
                <w:sz w:val="16"/>
                <w:szCs w:val="16"/>
                <w:color w:val="auto"/>
              </w:rPr>
            </w:pPr>
          </w:p>
        </w:tc>
        <w:tc>
          <w:tcPr>
            <w:tcW w:w="146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USD/JPY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Interest Rate Risk</w:t>
      </w:r>
      <w:r>
        <w:rPr>
          <w:rFonts w:ascii="Times New Roman" w:cs="Times New Roman" w:eastAsia="Times New Roman" w:hAnsi="Times New Roman"/>
          <w:sz w:val="18"/>
          <w:szCs w:val="18"/>
          <w:color w:val="auto"/>
        </w:rPr>
        <w:t>. Changes in the overall level of interest rates affect the interest income that is generated from our cash, cash equivalents and short-term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and the interest expense that is incurred from our outstanding borrowings. For the three months ended March 31, 2024, interest income was $11.0 million and interest expense was $12.4 million.</w:t>
      </w:r>
    </w:p>
    <w:p>
      <w:pPr>
        <w:spacing w:after="0" w:line="5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primarily of highly liquid investments such as money market funds and deposits held at major banks. Short-term investments consist of available-for-sale debt securities with remaining maturities greater than three months at the date of purchase and time deposits. A hypothetical 100 basis point change in interest rates on these holdings could have a $10.7 million impact on our financial results.</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outstanding term loan borrowings of $755.0 million as of March 31, 2024 accrue interest at a rate that is based on the Term SOFR plus an applicable margin or at the base rate plus an applicable margin, at our election. The base rate is the highest of (i) the Overnight Bank Funding Rate, plus 0.500%, (ii) the PNC Bank, National Association prime rate, and (iii) Daily Simple SOFR plus an adjustment for SOFR plus 1.00%. The applicable margin for the borrowings is a percentage per annum based on the lower of (1) a pricing level determined by our then-current consolidated net leverage ratio and (2) a pricing level determined by our public debt rating (if available).</w:t>
      </w:r>
    </w:p>
    <w:p>
      <w:pPr>
        <w:spacing w:after="0" w:line="4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September 29, 2023, the 2022 Credit Agreement was amended to provide for an interest rate adjustment (Sustainability Rate Adjustment) based upon the achievement of certain environmental, social and governance key performance indicators (KPIs). The Sustainability Rate Adjustment range is +/-0.05% and will be adjusted annually based on the KPIs of the preceding year.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interest rates applicable to the outstanding borrowings are variable, we are exposed to interest rate risk from changes in the underlying index rates, which affects our interest expense. A hypothetical increase of 100 basis points in interest rates would result in an increase in interest expense and a corresponding decrease in cash flows of $7.7 million over the next twelve months, based on outstanding borrowings at March 31, 2024.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material change has occurred in our market risk subsequent to December 31, 2023.</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required by Rules 13a-15 and 15d-15 of the Exchange Act, we have evaluated,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participation of management, including the Chief Executive Officer and the Chief Financial Officer, the effectiveness of the design and operation of our disclosure controls and procedures as of the end of the period covered by this report. Based on such evaluation, the Chief Executive Officer and Chief Financial Officer have concluded that such disclosure controls and procedures are effective, as defined in Rule 13a-15(e) and Rule 15d-15(e) of the Exchange Act.</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believe, based on our knowledge, that the financial statements and other financial information included in this report fairly present, in all material respects, our financial condition, results of operations and cash flows as of and for the periods presented in this report. We are committed to both a sound internal control environment and to good corporate governance.</w:t>
      </w:r>
    </w:p>
    <w:p>
      <w:pPr>
        <w:spacing w:after="0" w:line="12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policies or procedures may deteriorate.</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time to time, we review the disclosure controls and procedures, and may periodically make changes to enhance their effectiveness and to ensure that our systems evolve with our business.</w:t>
      </w:r>
    </w:p>
    <w:p>
      <w:pPr>
        <w:spacing w:after="0" w:line="10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Internal Control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were no changes in our internal control over financial reporting that occurred during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2024 that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various claims, investigations and legal and regulatory proceedings that arise in the ordinary course of business, including, but not limited to, commercial disputes, labor and employment matters, tax audits, alleged infringement of third parties' intellectual property rights and other matters. Use or distribution of our products could generate product liability, regulatory infraction, or claims by our customers, end users, channel partners, government entities or third parties. Sales and marketing activities that impact processing of personal data, as well as measures taken to promote license compliance against pirated or unauthorized usage of our commercial products, may also result in claims by customers and individual employees of customers or by non-customers using pirated versions of our products. Each of these matters is subject to various uncertainties, and it is possible that an unfavorable resolution of one or more of these matters could have a significant adverse effect on our condensed consolidated financial statements as well as cause reputational damage. In our opinion, the resolution of pending matters is not expected to have a material adverse effect on our financial position, results of operations or cash flows.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face a number of risks that could materially and adversely affect our business, prospects, financial condition, results of operations and cash flows. A discussion of our risk factors can be found in Part I, Item 1A "Risk Factors" in our 2023 Form 10-K. No material changes have occurred to such risk factors after the filing of our 2023 Form 10-K.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92" w:lineRule="exact"/>
        <w:rPr>
          <w:sz w:val="20"/>
          <w:szCs w:val="20"/>
          <w:color w:val="auto"/>
        </w:rPr>
      </w:pPr>
    </w:p>
    <w:p>
      <w:pPr>
        <w:ind w:right="540"/>
        <w:spacing w:after="0" w:line="250" w:lineRule="auto"/>
        <w:rPr>
          <w:sz w:val="20"/>
          <w:szCs w:val="20"/>
          <w:color w:val="auto"/>
        </w:rPr>
      </w:pPr>
      <w:r>
        <w:rPr>
          <w:rFonts w:ascii="Times New Roman" w:cs="Times New Roman" w:eastAsia="Times New Roman" w:hAnsi="Times New Roman"/>
          <w:sz w:val="18"/>
          <w:szCs w:val="18"/>
          <w:color w:val="auto"/>
        </w:rPr>
        <w:t>None of the directors or "officers" of ANSYS, Inc. (as defined in Rule 16a-1(f) promulgated under the Exchange Act of 1934, as amended) adopted, modified, or terminated a “Rule 10b5-1 trading arrangement” or a “non-Rule 10b5-1 trading arrangement,” as each term is defined in Item 408 of Regulation S-K, during the fiscal quarter ended March 31, 2024.</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47"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Exhibit</w:t>
      </w:r>
    </w:p>
    <w:p>
      <w:pPr>
        <w:spacing w:after="0" w:line="90" w:lineRule="exact"/>
        <w:rPr>
          <w:sz w:val="20"/>
          <w:szCs w:val="20"/>
          <w:color w:val="auto"/>
        </w:rPr>
      </w:pPr>
    </w:p>
    <w:p>
      <w:pPr>
        <w:jc w:val="cente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hyperlink r:id="rId62">
        <w:r>
          <w:rPr>
            <w:rFonts w:ascii="Times New Roman" w:cs="Times New Roman" w:eastAsia="Times New Roman" w:hAnsi="Times New Roman"/>
            <w:sz w:val="18"/>
            <w:szCs w:val="18"/>
            <w:u w:val="single" w:color="auto"/>
            <w:color w:val="0000FF"/>
          </w:rPr>
          <w:t>Agreement and Plan of Merger, dated as of January 15, 2024, by and among Synopsys, Inc., ANSYS, Inc. and ALTA Acquisition Corp.</w:t>
        </w:r>
      </w:hyperlink>
    </w:p>
    <w:p>
      <w:pPr>
        <w:jc w:val="center"/>
        <w:ind w:left="380"/>
        <w:spacing w:after="0"/>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(filed as Exhibit 2.1 to the Company’s Current Report on Form 8-K, filed January 16, 2024, and incorporated herein by reference).</w:t>
        </w:r>
      </w:hyperlink>
    </w:p>
    <w:p>
      <w:pPr>
        <w:spacing w:after="0" w:line="59" w:lineRule="exact"/>
        <w:rPr>
          <w:sz w:val="20"/>
          <w:szCs w:val="20"/>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  </w:t>
      </w:r>
      <w:hyperlink r:id="rId63">
        <w:r>
          <w:rPr>
            <w:rFonts w:ascii="Times New Roman" w:cs="Times New Roman" w:eastAsia="Times New Roman" w:hAnsi="Times New Roman"/>
            <w:sz w:val="18"/>
            <w:szCs w:val="18"/>
            <w:u w:val="single" w:color="auto"/>
            <w:color w:val="0000FF"/>
          </w:rPr>
          <w:t>ANSYS, Inc. Tier Two Executive Severance Plan, dated January 1, 2024 (filed as Exhibit 10.26 to the Company’s Annual Report on Form</w:t>
        </w:r>
      </w:hyperlink>
    </w:p>
    <w:p>
      <w:pPr>
        <w:ind w:left="1120"/>
        <w:spacing w:after="0"/>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10-K, filed February 21, 2024, and incorporated herein by reference).*</w:t>
        </w:r>
      </w:hyperlink>
    </w:p>
    <w:p>
      <w:pPr>
        <w:spacing w:after="0" w:line="70" w:lineRule="exact"/>
        <w:rPr>
          <w:sz w:val="20"/>
          <w:szCs w:val="20"/>
          <w:color w:val="auto"/>
        </w:rPr>
      </w:pPr>
    </w:p>
    <w:p>
      <w:pPr>
        <w:ind w:left="1120" w:right="380" w:hanging="44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 </w:t>
      </w:r>
      <w:hyperlink r:id="rId64">
        <w:r>
          <w:rPr>
            <w:rFonts w:ascii="Times New Roman" w:cs="Times New Roman" w:eastAsia="Times New Roman" w:hAnsi="Times New Roman"/>
            <w:sz w:val="18"/>
            <w:szCs w:val="18"/>
            <w:u w:val="single" w:color="auto"/>
            <w:color w:val="0000FF"/>
          </w:rPr>
          <w:t>Transition Agreement between ANSYS, Inc. and Nicole Anasenes, dated February 15, 2024 (filed as Exhibit 10.27 to the Company’s</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FF"/>
          </w:rPr>
          <w:t>Annual Report on Form 10-K, filed February 21, 2024, and incorporated herein by reference).*</w:t>
        </w:r>
      </w:hyperlink>
    </w:p>
    <w:p>
      <w:pPr>
        <w:spacing w:after="0" w:line="6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Certification of Chief Executive Officer pursuant to Section 302 of the Sarbanes-Oxley Act of 2002.</w:t>
      </w:r>
    </w:p>
    <w:p>
      <w:pPr>
        <w:spacing w:after="0" w:line="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FF"/>
        </w:rPr>
        <w:t>Certification of Chief Financial Officer pursuant to Section 302 of the Sarbanes-Oxley Act of 2002.</w:t>
      </w:r>
    </w:p>
    <w:p>
      <w:pPr>
        <w:spacing w:after="0" w:line="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w:t>
      </w:r>
    </w:p>
    <w:p>
      <w:pPr>
        <w:spacing w:after="0" w:line="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w:t>
      </w:r>
    </w:p>
    <w:p>
      <w:pPr>
        <w:spacing w:after="0" w:line="77" w:lineRule="exact"/>
        <w:rPr>
          <w:sz w:val="20"/>
          <w:szCs w:val="20"/>
          <w:color w:val="auto"/>
        </w:rPr>
      </w:pPr>
    </w:p>
    <w:p>
      <w:pPr>
        <w:ind w:left="1120" w:hanging="734"/>
        <w:spacing w:after="0" w:line="237" w:lineRule="auto"/>
        <w:rPr>
          <w:sz w:val="20"/>
          <w:szCs w:val="20"/>
          <w:color w:val="auto"/>
        </w:rPr>
      </w:pPr>
      <w:r>
        <w:rPr>
          <w:rFonts w:ascii="Times New Roman" w:cs="Times New Roman" w:eastAsia="Times New Roman" w:hAnsi="Times New Roman"/>
          <w:sz w:val="18"/>
          <w:szCs w:val="18"/>
          <w:color w:val="auto"/>
        </w:rPr>
        <w:t>101.INS Inline XBRL Instance Document (the instance document does not appear in the Interactive Data File because its XBRL tags are embedded within the Inline XBRL document)</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101.SCH  Inline XBRL Taxonomy Extension Schema</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101.LAB  Inline XBRL Taxonomy Extension Label Linkbase</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*Indicates management contract or compensatory plan, contract or arrangement.</w:t>
      </w:r>
    </w:p>
    <w:p>
      <w:pPr>
        <w:spacing w:after="0" w:line="200" w:lineRule="exact"/>
        <w:rPr>
          <w:sz w:val="20"/>
          <w:szCs w:val="20"/>
          <w:color w:val="auto"/>
        </w:rPr>
      </w:pPr>
    </w:p>
    <w:p>
      <w:pPr>
        <w:spacing w:after="0" w:line="3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84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ANSYS, Inc.</w:t>
            </w:r>
          </w:p>
        </w:tc>
      </w:tr>
      <w:tr>
        <w:trPr>
          <w:trHeight w:val="49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1, 2024</w:t>
            </w:r>
          </w:p>
        </w:tc>
        <w:tc>
          <w:tcPr>
            <w:tcW w:w="2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4"/>
                <w:szCs w:val="24"/>
                <w:color w:val="auto"/>
              </w:rPr>
            </w:pP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Ajei S. Gopal</w:t>
            </w:r>
          </w:p>
        </w:tc>
      </w:tr>
      <w:tr>
        <w:trPr>
          <w:trHeight w:val="218"/>
        </w:trPr>
        <w:tc>
          <w:tcPr>
            <w:tcW w:w="5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Ajei S. Gopal</w:t>
            </w:r>
          </w:p>
        </w:tc>
      </w:tr>
      <w:tr>
        <w:trPr>
          <w:trHeight w:val="229"/>
        </w:trPr>
        <w:tc>
          <w:tcPr>
            <w:tcW w:w="5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1, 2024</w:t>
            </w:r>
          </w:p>
        </w:tc>
        <w:tc>
          <w:tcPr>
            <w:tcW w:w="2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4"/>
                <w:szCs w:val="24"/>
                <w:color w:val="auto"/>
              </w:rPr>
            </w:pP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Rachel Pyles</w:t>
            </w:r>
          </w:p>
        </w:tc>
      </w:tr>
      <w:tr>
        <w:trPr>
          <w:trHeight w:val="218"/>
        </w:trPr>
        <w:tc>
          <w:tcPr>
            <w:tcW w:w="5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Rachel Pyles</w:t>
            </w:r>
          </w:p>
        </w:tc>
      </w:tr>
      <w:tr>
        <w:trPr>
          <w:trHeight w:val="229"/>
        </w:trPr>
        <w:tc>
          <w:tcPr>
            <w:tcW w:w="5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Senior Vice President of Finance</w:t>
            </w:r>
          </w:p>
        </w:tc>
      </w:tr>
      <w:tr>
        <w:trPr>
          <w:trHeight w:val="234"/>
        </w:trPr>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851"/>
        </w:trPr>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720" w:type="dxa"/>
            <w:vAlign w:val="bottom"/>
            <w:gridSpan w:val="2"/>
          </w:tcPr>
          <w:p>
            <w:pPr>
              <w:jc w:val="right"/>
              <w:ind w:right="5390"/>
              <w:spacing w:after="0"/>
              <w:rPr>
                <w:sz w:val="20"/>
                <w:szCs w:val="20"/>
                <w:color w:val="auto"/>
              </w:rPr>
            </w:pPr>
            <w:r>
              <w:rPr>
                <w:rFonts w:ascii="Times New Roman" w:cs="Times New Roman" w:eastAsia="Times New Roman" w:hAnsi="Times New Roman"/>
                <w:sz w:val="18"/>
                <w:szCs w:val="18"/>
                <w:color w:val="auto"/>
              </w:rPr>
              <w:t>43</w:t>
            </w:r>
          </w:p>
        </w:tc>
      </w:tr>
    </w:tbl>
    <w:p>
      <w:pPr>
        <w:sectPr>
          <w:pgSz w:w="11900" w:h="16838" w:orient="portrait"/>
          <w:cols w:equalWidth="0" w:num="1">
            <w:col w:w="11200"/>
          </w:cols>
          <w:pgMar w:left="320" w:top="121" w:right="37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Ajei S. Gopal, certify that:</w:t>
      </w:r>
    </w:p>
    <w:p>
      <w:pPr>
        <w:spacing w:after="0" w:line="117" w:lineRule="exact"/>
        <w:rPr>
          <w:sz w:val="20"/>
          <w:szCs w:val="20"/>
          <w:color w:val="auto"/>
        </w:rPr>
      </w:pPr>
    </w:p>
    <w:p>
      <w:pPr>
        <w:ind w:left="500" w:hanging="492"/>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ANSYS, Inc. ("Ansys");</w:t>
      </w:r>
    </w:p>
    <w:p>
      <w:pPr>
        <w:spacing w:after="0" w:line="117"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Ansys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00" w:right="60" w:hanging="492"/>
        <w:spacing w:after="0" w:line="266"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Ansys' other certifying officer and I are responsible for establishing and maintaining disclosure controls and procedures (as defined in Exchange Act Rules 13a-15(e) and 15d-15(e)) and internal control over financial reporting (as defined in Exchange Act Rules 13a-15(f) and 15d-15(f)) for Ansys and have:</w:t>
      </w:r>
    </w:p>
    <w:p>
      <w:pPr>
        <w:spacing w:after="0" w:line="67" w:lineRule="exact"/>
        <w:rPr>
          <w:rFonts w:ascii="Times New Roman" w:cs="Times New Roman" w:eastAsia="Times New Roman" w:hAnsi="Times New Roman"/>
          <w:sz w:val="18"/>
          <w:szCs w:val="18"/>
          <w:color w:val="auto"/>
        </w:rPr>
      </w:pPr>
    </w:p>
    <w:p>
      <w:pPr>
        <w:jc w:val="both"/>
        <w:ind w:left="980" w:right="20" w:hanging="486"/>
        <w:spacing w:after="0" w:line="266" w:lineRule="auto"/>
        <w:tabs>
          <w:tab w:leader="none" w:pos="97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Ansys,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right="180" w:hanging="486"/>
        <w:spacing w:after="0" w:line="282" w:lineRule="auto"/>
        <w:tabs>
          <w:tab w:leader="none" w:pos="97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Ansys'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980" w:right="220" w:hanging="486"/>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Ansys' internal control over financial reporting that occurred during Ansys' most recent fiscal quarter (Ansys' fourth fiscal quarter in the case of an annual report) that has materially affected, or is reasonably likely to materially affect, Ansys' internal control over financial reporting; and</w:t>
      </w:r>
    </w:p>
    <w:p>
      <w:pPr>
        <w:spacing w:after="0" w:line="67" w:lineRule="exact"/>
        <w:rPr>
          <w:rFonts w:ascii="Times New Roman" w:cs="Times New Roman" w:eastAsia="Times New Roman" w:hAnsi="Times New Roman"/>
          <w:sz w:val="18"/>
          <w:szCs w:val="18"/>
          <w:color w:val="auto"/>
        </w:rPr>
      </w:pPr>
    </w:p>
    <w:p>
      <w:pPr>
        <w:ind w:left="500" w:right="540" w:hanging="492"/>
        <w:spacing w:after="0" w:line="282"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Ansys' other certifying officer and I have disclosed, based on our most recent evaluation of internal control over financial reporting, to Ansys' auditors and the audit committee of Ansys'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Ansys'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Ansys' internal control over financial reporting.</w:t>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2024</w:t>
            </w:r>
          </w:p>
        </w:tc>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Ajei S. Gopal</w:t>
            </w:r>
          </w:p>
        </w:tc>
      </w:tr>
      <w:tr>
        <w:trPr>
          <w:trHeight w:val="218"/>
        </w:trPr>
        <w:tc>
          <w:tcPr>
            <w:tcW w:w="518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Ajei S. Gopal</w:t>
            </w:r>
          </w:p>
        </w:tc>
      </w:tr>
      <w:tr>
        <w:trPr>
          <w:trHeight w:val="230"/>
        </w:trPr>
        <w:tc>
          <w:tcPr>
            <w:tcW w:w="51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18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Rachel Pyles, certify that:</w:t>
      </w:r>
    </w:p>
    <w:p>
      <w:pPr>
        <w:spacing w:after="0" w:line="117"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ANSYS, Inc. ("Ansys");</w:t>
      </w:r>
    </w:p>
    <w:p>
      <w:pPr>
        <w:spacing w:after="0" w:line="117"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Ansys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00" w:right="60" w:hanging="492"/>
        <w:spacing w:after="0" w:line="266"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Ansys' other certifying officer and I are responsible for establishing and maintaining disclosure controls and procedures (as defined in Exchange Act Rules 13a-15(e) and 15d-15(e)) and internal control over financial reporting (as defined in Exchange Act Rules 13a-15(f) and 15d-15(f)) for Ansys and have:</w:t>
      </w:r>
    </w:p>
    <w:p>
      <w:pPr>
        <w:spacing w:after="0" w:line="67" w:lineRule="exact"/>
        <w:rPr>
          <w:rFonts w:ascii="Times New Roman" w:cs="Times New Roman" w:eastAsia="Times New Roman" w:hAnsi="Times New Roman"/>
          <w:sz w:val="18"/>
          <w:szCs w:val="18"/>
          <w:color w:val="auto"/>
        </w:rPr>
      </w:pPr>
    </w:p>
    <w:p>
      <w:pPr>
        <w:jc w:val="both"/>
        <w:ind w:left="980" w:right="20" w:hanging="486"/>
        <w:spacing w:after="0" w:line="266" w:lineRule="auto"/>
        <w:tabs>
          <w:tab w:leader="none" w:pos="97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Ansys,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right="180" w:hanging="486"/>
        <w:spacing w:after="0" w:line="282" w:lineRule="auto"/>
        <w:tabs>
          <w:tab w:leader="none" w:pos="97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Ansys'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980" w:right="220" w:hanging="486"/>
        <w:spacing w:after="0" w:line="266"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Ansys' internal control over financial reporting that occurred during Ansys' most recent fiscal quarter (Ansys' fourth fiscal quarter in the case of an annual report) that has materially affected, or is reasonably likely to materially affect, Ansys' internal control over financial reporting; and</w:t>
      </w:r>
    </w:p>
    <w:p>
      <w:pPr>
        <w:spacing w:after="0" w:line="67" w:lineRule="exact"/>
        <w:rPr>
          <w:rFonts w:ascii="Times New Roman" w:cs="Times New Roman" w:eastAsia="Times New Roman" w:hAnsi="Times New Roman"/>
          <w:sz w:val="18"/>
          <w:szCs w:val="18"/>
          <w:color w:val="auto"/>
        </w:rPr>
      </w:pPr>
    </w:p>
    <w:p>
      <w:pPr>
        <w:ind w:left="500" w:right="540" w:hanging="492"/>
        <w:spacing w:after="0" w:line="282"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Ansys' other certifying officer and I have disclosed, based on our most recent evaluation of internal control over financial reporting, to Ansys' auditors and the audit committee of Ansys'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Ansys'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Ansys' internal control over financial reporting.</w:t>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2024</w:t>
            </w:r>
          </w:p>
        </w:tc>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Rachel Pyles</w:t>
            </w:r>
          </w:p>
        </w:tc>
      </w:tr>
      <w:tr>
        <w:trPr>
          <w:trHeight w:val="218"/>
        </w:trPr>
        <w:tc>
          <w:tcPr>
            <w:tcW w:w="518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Rachel Pyles</w:t>
            </w:r>
          </w:p>
        </w:tc>
      </w:tr>
      <w:tr>
        <w:trPr>
          <w:trHeight w:val="230"/>
        </w:trPr>
        <w:tc>
          <w:tcPr>
            <w:tcW w:w="51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Senior Vice President of Finance</w:t>
            </w:r>
          </w:p>
        </w:tc>
      </w:tr>
      <w:tr>
        <w:trPr>
          <w:trHeight w:val="234"/>
        </w:trPr>
        <w:tc>
          <w:tcPr>
            <w:tcW w:w="518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ANSYS, Inc. (the "Company") on Form 10-Q for the quarter ended March 31, 2024 as filed with the Securities and Exchange Commission on the date hereof (the "Report"), I, Ajei S. Gopal, President and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1140" w:hanging="646"/>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140" w:right="440" w:hanging="646"/>
        <w:spacing w:after="0" w:line="282" w:lineRule="auto"/>
        <w:tabs>
          <w:tab w:leader="none" w:pos="11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certification is provided solely pursuant to 18 U.S.C. Section 1350, as adopted pursuant to Section 906 of the Sarbanes-Oxley Act of 2002, and shall not be deemed to be part of the Report or filed for any purpose whatsoever.</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Ajei S. Gopal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3261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Ajei S. Gopal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 2024</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ANSYS, Inc. (the "Company") on Form 10-Q for the quarter ended March 31, 2024 as filed with the Securities and Exchange Commission on the date hereof (the "Report"), I, Rachel Pyles, Chief Financial Officer and Senior Vice President of Finance of the Company, certify, pursuant to 18 U.S.C. Section 1350, as adopted pursuant to Section 906 of the Sarbanes-Oxley Act of 2002, that to my knowledge:</w:t>
      </w:r>
    </w:p>
    <w:p>
      <w:pPr>
        <w:spacing w:after="0" w:line="68" w:lineRule="exact"/>
        <w:rPr>
          <w:sz w:val="20"/>
          <w:szCs w:val="20"/>
          <w:color w:val="auto"/>
        </w:rPr>
      </w:pPr>
    </w:p>
    <w:p>
      <w:pPr>
        <w:ind w:left="1140" w:hanging="646"/>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140" w:right="440" w:hanging="646"/>
        <w:spacing w:after="0" w:line="282" w:lineRule="auto"/>
        <w:tabs>
          <w:tab w:leader="none" w:pos="11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certification is provided solely pursuant to 18 U.S.C. Section 1350, as adopted pursuant to Section 906 of the Sarbanes-Oxley Act of 2002, and shall not be deemed to be part of the Report or filed for any purpose whatsoever.</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Rachel Pyles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401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Rachel Pyles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Senior Vice President of Finance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77"/>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decimal"/>
      <w:start w:val="3"/>
    </w:lvl>
  </w:abstractNum>
  <w:abstractNum w:abstractNumId="6">
    <w:nsid w:val="7C83E458"/>
    <w:multiLevelType w:val="hybridMultilevel"/>
    <w:lvl w:ilvl="0">
      <w:lvlJc w:val="left"/>
      <w:lvlText w:val="%1."/>
      <w:numFmt w:val="decimal"/>
      <w:start w:val="4"/>
    </w:lvl>
  </w:abstractNum>
  <w:abstractNum w:abstractNumId="7">
    <w:nsid w:val="257130A3"/>
    <w:multiLevelType w:val="hybridMultilevel"/>
    <w:lvl w:ilvl="0">
      <w:lvlJc w:val="left"/>
      <w:lvlText w:val="%1."/>
      <w:numFmt w:val="decimal"/>
      <w:start w:val="5"/>
    </w:lvl>
  </w:abstractNum>
  <w:abstractNum w:abstractNumId="8">
    <w:nsid w:val="62BBD95A"/>
    <w:multiLevelType w:val="hybridMultilevel"/>
    <w:lvl w:ilvl="0">
      <w:lvlJc w:val="left"/>
      <w:lvlText w:val="%1."/>
      <w:numFmt w:val="decimal"/>
      <w:start w:val="6"/>
    </w:lvl>
  </w:abstractNum>
  <w:abstractNum w:abstractNumId="9">
    <w:nsid w:val="436C6125"/>
    <w:multiLevelType w:val="hybridMultilevel"/>
    <w:lvl w:ilvl="0">
      <w:lvlJc w:val="left"/>
      <w:lvlText w:val="%1."/>
      <w:numFmt w:val="decimal"/>
      <w:start w:val="7"/>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8"/>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9"/>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2" Type="http://schemas.openxmlformats.org/officeDocument/2006/relationships/hyperlink" Target="https://www.sec.gov/Archives/edgar/data/1013462/000119312524008112/d706106dex21.htm" TargetMode="External"/><Relationship Id="rId63" Type="http://schemas.openxmlformats.org/officeDocument/2006/relationships/hyperlink" Target="https://www.sec.gov/Archives/edgar/data/1013462/000101346224000007/anssex1026-ansysinctiertwo.htm" TargetMode="External"/><Relationship Id="rId64" Type="http://schemas.openxmlformats.org/officeDocument/2006/relationships/hyperlink" Target="https://www.sec.gov/Archives/edgar/data/1013462/000101346224000007/anssex1027-transition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2024-05-01T15:40:37Z</dcterms:created>
  <dcterms:modified xsi:type="dcterms:W3CDTF">2024-05-01T15:40:37Z</dcterms:modified>
</cp:coreProperties>
</file>