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July 23, 1996</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REGISTRATION STATEMENT NO. 333-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5860" w:type="dxa"/>
            <w:vAlign w:val="bottom"/>
          </w:tcPr>
          <w:p>
            <w:pPr>
              <w:jc w:val="center"/>
              <w:ind w:right="2592"/>
              <w:spacing w:after="0"/>
              <w:rPr>
                <w:sz w:val="20"/>
                <w:szCs w:val="20"/>
                <w:color w:val="auto"/>
              </w:rPr>
            </w:pPr>
            <w:r>
              <w:rPr>
                <w:rFonts w:ascii="Courier New" w:cs="Courier New" w:eastAsia="Courier New" w:hAnsi="Courier New"/>
                <w:sz w:val="18"/>
                <w:szCs w:val="18"/>
                <w:color w:val="auto"/>
                <w:w w:val="97"/>
              </w:rPr>
              <w:t>-----------------------------</w:t>
            </w:r>
          </w:p>
        </w:tc>
      </w:tr>
      <w:tr>
        <w:trPr>
          <w:trHeight w:val="608"/>
        </w:trPr>
        <w:tc>
          <w:tcPr>
            <w:tcW w:w="2580" w:type="dxa"/>
            <w:vAlign w:val="bottom"/>
          </w:tcPr>
          <w:p>
            <w:pPr>
              <w:spacing w:after="0"/>
              <w:rPr>
                <w:sz w:val="24"/>
                <w:szCs w:val="24"/>
                <w:color w:val="auto"/>
              </w:rPr>
            </w:pPr>
          </w:p>
        </w:tc>
        <w:tc>
          <w:tcPr>
            <w:tcW w:w="5860" w:type="dxa"/>
            <w:vAlign w:val="bottom"/>
          </w:tcPr>
          <w:p>
            <w:pPr>
              <w:jc w:val="center"/>
              <w:ind w:right="2492"/>
              <w:spacing w:after="0"/>
              <w:rPr>
                <w:sz w:val="20"/>
                <w:szCs w:val="20"/>
                <w:color w:val="auto"/>
              </w:rPr>
            </w:pPr>
            <w:r>
              <w:rPr>
                <w:rFonts w:ascii="Courier New" w:cs="Courier New" w:eastAsia="Courier New" w:hAnsi="Courier New"/>
                <w:sz w:val="18"/>
                <w:szCs w:val="18"/>
                <w:color w:val="auto"/>
                <w:w w:val="97"/>
              </w:rPr>
              <w:t>FORM S-8</w:t>
            </w:r>
          </w:p>
        </w:tc>
      </w:tr>
      <w:tr>
        <w:trPr>
          <w:trHeight w:val="203"/>
        </w:trPr>
        <w:tc>
          <w:tcPr>
            <w:tcW w:w="2580" w:type="dxa"/>
            <w:vAlign w:val="bottom"/>
          </w:tcPr>
          <w:p>
            <w:pPr>
              <w:spacing w:after="0"/>
              <w:rPr>
                <w:sz w:val="17"/>
                <w:szCs w:val="17"/>
                <w:color w:val="auto"/>
              </w:rPr>
            </w:pPr>
          </w:p>
        </w:tc>
        <w:tc>
          <w:tcPr>
            <w:tcW w:w="5860" w:type="dxa"/>
            <w:vAlign w:val="bottom"/>
          </w:tcPr>
          <w:p>
            <w:pPr>
              <w:jc w:val="center"/>
              <w:ind w:right="2492"/>
              <w:spacing w:after="0" w:line="203" w:lineRule="exact"/>
              <w:rPr>
                <w:sz w:val="20"/>
                <w:szCs w:val="20"/>
                <w:color w:val="auto"/>
              </w:rPr>
            </w:pPr>
            <w:r>
              <w:rPr>
                <w:rFonts w:ascii="Courier New" w:cs="Courier New" w:eastAsia="Courier New" w:hAnsi="Courier New"/>
                <w:sz w:val="18"/>
                <w:szCs w:val="18"/>
                <w:color w:val="auto"/>
                <w:w w:val="97"/>
              </w:rPr>
              <w:t>REGISTRATION STATEMENT</w:t>
            </w:r>
          </w:p>
        </w:tc>
      </w:tr>
      <w:tr>
        <w:trPr>
          <w:trHeight w:val="203"/>
        </w:trPr>
        <w:tc>
          <w:tcPr>
            <w:tcW w:w="2580" w:type="dxa"/>
            <w:vAlign w:val="bottom"/>
          </w:tcPr>
          <w:p>
            <w:pPr>
              <w:spacing w:after="0"/>
              <w:rPr>
                <w:sz w:val="17"/>
                <w:szCs w:val="17"/>
                <w:color w:val="auto"/>
              </w:rPr>
            </w:pPr>
          </w:p>
        </w:tc>
        <w:tc>
          <w:tcPr>
            <w:tcW w:w="5860" w:type="dxa"/>
            <w:vAlign w:val="bottom"/>
          </w:tcPr>
          <w:p>
            <w:pPr>
              <w:jc w:val="center"/>
              <w:ind w:right="2592"/>
              <w:spacing w:after="0" w:line="203" w:lineRule="exact"/>
              <w:rPr>
                <w:sz w:val="20"/>
                <w:szCs w:val="20"/>
                <w:color w:val="auto"/>
              </w:rPr>
            </w:pPr>
            <w:r>
              <w:rPr>
                <w:rFonts w:ascii="Courier New" w:cs="Courier New" w:eastAsia="Courier New" w:hAnsi="Courier New"/>
                <w:sz w:val="18"/>
                <w:szCs w:val="18"/>
                <w:color w:val="auto"/>
                <w:w w:val="99"/>
              </w:rPr>
              <w:t>UNDER</w:t>
            </w:r>
          </w:p>
        </w:tc>
      </w:tr>
      <w:tr>
        <w:trPr>
          <w:trHeight w:val="203"/>
        </w:trPr>
        <w:tc>
          <w:tcPr>
            <w:tcW w:w="2580" w:type="dxa"/>
            <w:vAlign w:val="bottom"/>
          </w:tcPr>
          <w:p>
            <w:pPr>
              <w:spacing w:after="0"/>
              <w:rPr>
                <w:sz w:val="17"/>
                <w:szCs w:val="17"/>
                <w:color w:val="auto"/>
              </w:rPr>
            </w:pPr>
          </w:p>
        </w:tc>
        <w:tc>
          <w:tcPr>
            <w:tcW w:w="5860" w:type="dxa"/>
            <w:vAlign w:val="bottom"/>
          </w:tcPr>
          <w:p>
            <w:pPr>
              <w:jc w:val="center"/>
              <w:ind w:right="2472"/>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r>
      <w:tr>
        <w:trPr>
          <w:trHeight w:val="203"/>
        </w:trPr>
        <w:tc>
          <w:tcPr>
            <w:tcW w:w="2580" w:type="dxa"/>
            <w:vAlign w:val="bottom"/>
          </w:tcPr>
          <w:p>
            <w:pPr>
              <w:spacing w:after="0"/>
              <w:rPr>
                <w:sz w:val="17"/>
                <w:szCs w:val="17"/>
                <w:color w:val="auto"/>
              </w:rPr>
            </w:pPr>
          </w:p>
        </w:tc>
        <w:tc>
          <w:tcPr>
            <w:tcW w:w="5860" w:type="dxa"/>
            <w:vAlign w:val="bottom"/>
          </w:tcPr>
          <w:p>
            <w:pPr>
              <w:jc w:val="center"/>
              <w:ind w:right="25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580" w:type="dxa"/>
            <w:vAlign w:val="bottom"/>
          </w:tcPr>
          <w:p>
            <w:pPr>
              <w:spacing w:after="0"/>
              <w:rPr>
                <w:sz w:val="24"/>
                <w:szCs w:val="24"/>
                <w:color w:val="auto"/>
              </w:rPr>
            </w:pPr>
          </w:p>
        </w:tc>
        <w:tc>
          <w:tcPr>
            <w:tcW w:w="5860" w:type="dxa"/>
            <w:vAlign w:val="bottom"/>
          </w:tcPr>
          <w:p>
            <w:pPr>
              <w:jc w:val="center"/>
              <w:ind w:right="2612"/>
              <w:spacing w:after="0"/>
              <w:rPr>
                <w:sz w:val="20"/>
                <w:szCs w:val="20"/>
                <w:color w:val="auto"/>
              </w:rPr>
            </w:pPr>
            <w:r>
              <w:rPr>
                <w:rFonts w:ascii="Courier New" w:cs="Courier New" w:eastAsia="Courier New" w:hAnsi="Courier New"/>
                <w:sz w:val="18"/>
                <w:szCs w:val="18"/>
                <w:color w:val="auto"/>
                <w:w w:val="97"/>
              </w:rPr>
              <w:t>ANSYS, INC.</w:t>
            </w: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58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04-3219960</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(STATE OF INCORPORATION)</w:t>
            </w: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(I.R.S. EMPLOYER IDENTIFICATION NO.)</w:t>
            </w:r>
          </w:p>
        </w:tc>
      </w:tr>
    </w:tbl>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201 JOHNSON ROAD</w:t>
      </w:r>
    </w:p>
    <w:p>
      <w:pPr>
        <w:jc w:val="center"/>
        <w:ind w:right="1979"/>
        <w:spacing w:after="0" w:line="238" w:lineRule="auto"/>
        <w:rPr>
          <w:sz w:val="20"/>
          <w:szCs w:val="20"/>
          <w:color w:val="auto"/>
        </w:rPr>
      </w:pPr>
      <w:r>
        <w:rPr>
          <w:rFonts w:ascii="Courier New" w:cs="Courier New" w:eastAsia="Courier New" w:hAnsi="Courier New"/>
          <w:sz w:val="18"/>
          <w:szCs w:val="18"/>
          <w:color w:val="auto"/>
        </w:rPr>
        <w:t>HOUSTON, PENNSYLVANIA 15342-1300</w:t>
      </w:r>
    </w:p>
    <w:p>
      <w:pPr>
        <w:jc w:val="center"/>
        <w:ind w:right="1979"/>
        <w:spacing w:after="0"/>
        <w:rPr>
          <w:sz w:val="20"/>
          <w:szCs w:val="20"/>
          <w:color w:val="auto"/>
        </w:rPr>
      </w:pPr>
      <w:r>
        <w:rPr>
          <w:rFonts w:ascii="Courier New" w:cs="Courier New" w:eastAsia="Courier New" w:hAnsi="Courier New"/>
          <w:sz w:val="18"/>
          <w:szCs w:val="18"/>
          <w:color w:val="auto"/>
        </w:rPr>
        <w:t>(412) 746-3304</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1996 STOCK OPTION AND GRANT PLAN</w:t>
      </w:r>
    </w:p>
    <w:p>
      <w:pPr>
        <w:ind w:left="2740"/>
        <w:spacing w:after="0" w:line="238" w:lineRule="auto"/>
        <w:rPr>
          <w:sz w:val="20"/>
          <w:szCs w:val="20"/>
          <w:color w:val="auto"/>
        </w:rPr>
      </w:pPr>
      <w:r>
        <w:rPr>
          <w:rFonts w:ascii="Courier New" w:cs="Courier New" w:eastAsia="Courier New" w:hAnsi="Courier New"/>
          <w:sz w:val="18"/>
          <w:szCs w:val="18"/>
          <w:color w:val="auto"/>
        </w:rPr>
        <w:t>EMPLOYEE STOCK PURCHASE PLAN</w:t>
      </w:r>
    </w:p>
    <w:p>
      <w:pPr>
        <w:ind w:left="2860"/>
        <w:spacing w:after="0"/>
        <w:rPr>
          <w:sz w:val="20"/>
          <w:szCs w:val="20"/>
          <w:color w:val="auto"/>
        </w:rPr>
      </w:pPr>
      <w:r>
        <w:rPr>
          <w:rFonts w:ascii="Courier New" w:cs="Courier New" w:eastAsia="Courier New" w:hAnsi="Courier New"/>
          <w:sz w:val="18"/>
          <w:szCs w:val="18"/>
          <w:color w:val="auto"/>
        </w:rPr>
        <w:t>(FULL TITLE OF THE PLANS)</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PETER J. SMITH</w:t>
      </w:r>
    </w:p>
    <w:p>
      <w:pPr>
        <w:ind w:left="1700"/>
        <w:spacing w:after="0" w:line="238" w:lineRule="auto"/>
        <w:rPr>
          <w:sz w:val="20"/>
          <w:szCs w:val="20"/>
          <w:color w:val="auto"/>
        </w:rPr>
      </w:pPr>
      <w:r>
        <w:rPr>
          <w:rFonts w:ascii="Courier New" w:cs="Courier New" w:eastAsia="Courier New" w:hAnsi="Courier New"/>
          <w:sz w:val="18"/>
          <w:szCs w:val="18"/>
          <w:color w:val="auto"/>
        </w:rPr>
        <w:t>CHAIRMAN, PRESIDENT AND CHIEF EXECUTIVE OFFICER</w:t>
      </w:r>
    </w:p>
    <w:p>
      <w:pPr>
        <w:ind w:left="3580"/>
        <w:spacing w:after="0"/>
        <w:rPr>
          <w:sz w:val="20"/>
          <w:szCs w:val="20"/>
          <w:color w:val="auto"/>
        </w:rPr>
      </w:pPr>
      <w:r>
        <w:rPr>
          <w:rFonts w:ascii="Courier New" w:cs="Courier New" w:eastAsia="Courier New" w:hAnsi="Courier New"/>
          <w:sz w:val="18"/>
          <w:szCs w:val="18"/>
          <w:color w:val="auto"/>
        </w:rPr>
        <w:t>ANSYS, INC.</w:t>
      </w:r>
    </w:p>
    <w:p>
      <w:pPr>
        <w:ind w:left="3380"/>
        <w:spacing w:after="0" w:line="237" w:lineRule="auto"/>
        <w:rPr>
          <w:sz w:val="20"/>
          <w:szCs w:val="20"/>
          <w:color w:val="auto"/>
        </w:rPr>
      </w:pPr>
      <w:r>
        <w:rPr>
          <w:rFonts w:ascii="Courier New" w:cs="Courier New" w:eastAsia="Courier New" w:hAnsi="Courier New"/>
          <w:sz w:val="18"/>
          <w:szCs w:val="18"/>
          <w:color w:val="auto"/>
        </w:rPr>
        <w:t>201 JOHNSON ROAD</w:t>
      </w:r>
    </w:p>
    <w:p>
      <w:pPr>
        <w:ind w:left="2540"/>
        <w:spacing w:after="0" w:line="238" w:lineRule="auto"/>
        <w:rPr>
          <w:sz w:val="20"/>
          <w:szCs w:val="20"/>
          <w:color w:val="auto"/>
        </w:rPr>
      </w:pPr>
      <w:r>
        <w:rPr>
          <w:rFonts w:ascii="Courier New" w:cs="Courier New" w:eastAsia="Courier New" w:hAnsi="Courier New"/>
          <w:sz w:val="18"/>
          <w:szCs w:val="18"/>
          <w:color w:val="auto"/>
        </w:rPr>
        <w:t>HOUSTON, PENNSYLVANIA 15342-1300</w:t>
      </w:r>
    </w:p>
    <w:p>
      <w:pPr>
        <w:ind w:left="3480"/>
        <w:spacing w:after="0"/>
        <w:rPr>
          <w:sz w:val="20"/>
          <w:szCs w:val="20"/>
          <w:color w:val="auto"/>
        </w:rPr>
      </w:pPr>
      <w:r>
        <w:rPr>
          <w:rFonts w:ascii="Courier New" w:cs="Courier New" w:eastAsia="Courier New" w:hAnsi="Courier New"/>
          <w:sz w:val="18"/>
          <w:szCs w:val="18"/>
          <w:color w:val="auto"/>
        </w:rPr>
        <w:t>(412) 746-3304</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With copy to:</w:t>
      </w:r>
    </w:p>
    <w:p>
      <w:pPr>
        <w:ind w:left="3060"/>
        <w:spacing w:after="0" w:line="238" w:lineRule="auto"/>
        <w:rPr>
          <w:sz w:val="20"/>
          <w:szCs w:val="20"/>
          <w:color w:val="auto"/>
        </w:rPr>
      </w:pPr>
      <w:r>
        <w:rPr>
          <w:rFonts w:ascii="Courier New" w:cs="Courier New" w:eastAsia="Courier New" w:hAnsi="Courier New"/>
          <w:sz w:val="18"/>
          <w:szCs w:val="18"/>
          <w:color w:val="auto"/>
        </w:rPr>
        <w:t>JOHN R. LECLAIRE, P.C.</w:t>
      </w:r>
    </w:p>
    <w:p>
      <w:pPr>
        <w:ind w:left="2860"/>
        <w:spacing w:after="0"/>
        <w:rPr>
          <w:sz w:val="20"/>
          <w:szCs w:val="20"/>
          <w:color w:val="auto"/>
        </w:rPr>
      </w:pPr>
      <w:r>
        <w:rPr>
          <w:rFonts w:ascii="Courier New" w:cs="Courier New" w:eastAsia="Courier New" w:hAnsi="Courier New"/>
          <w:sz w:val="18"/>
          <w:szCs w:val="18"/>
          <w:color w:val="auto"/>
        </w:rPr>
        <w:t>JEFFREY D. PLUNKETT, ESQ.</w:t>
      </w:r>
    </w:p>
    <w:p>
      <w:pPr>
        <w:ind w:left="2740"/>
        <w:spacing w:after="0" w:line="237" w:lineRule="auto"/>
        <w:rPr>
          <w:sz w:val="20"/>
          <w:szCs w:val="20"/>
          <w:color w:val="auto"/>
        </w:rPr>
      </w:pPr>
      <w:r>
        <w:rPr>
          <w:rFonts w:ascii="Courier New" w:cs="Courier New" w:eastAsia="Courier New" w:hAnsi="Courier New"/>
          <w:sz w:val="18"/>
          <w:szCs w:val="18"/>
          <w:color w:val="auto"/>
        </w:rPr>
        <w:t>GOODWIN, PROCTER &amp; HOAR LLP</w:t>
      </w:r>
    </w:p>
    <w:p>
      <w:pPr>
        <w:ind w:left="3480"/>
        <w:spacing w:after="0" w:line="238" w:lineRule="auto"/>
        <w:rPr>
          <w:sz w:val="20"/>
          <w:szCs w:val="20"/>
          <w:color w:val="auto"/>
        </w:rPr>
      </w:pPr>
      <w:r>
        <w:rPr>
          <w:rFonts w:ascii="Courier New" w:cs="Courier New" w:eastAsia="Courier New" w:hAnsi="Courier New"/>
          <w:sz w:val="18"/>
          <w:szCs w:val="18"/>
          <w:color w:val="auto"/>
        </w:rPr>
        <w:t>EXCHANGE PLACE</w:t>
      </w:r>
    </w:p>
    <w:p>
      <w:pPr>
        <w:ind w:left="2540"/>
        <w:spacing w:after="0"/>
        <w:rPr>
          <w:sz w:val="20"/>
          <w:szCs w:val="20"/>
          <w:color w:val="auto"/>
        </w:rPr>
      </w:pPr>
      <w:r>
        <w:rPr>
          <w:rFonts w:ascii="Courier New" w:cs="Courier New" w:eastAsia="Courier New" w:hAnsi="Courier New"/>
          <w:sz w:val="18"/>
          <w:szCs w:val="18"/>
          <w:color w:val="auto"/>
        </w:rPr>
        <w:t>BOSTON, MASSACHUSETTS 02109-2881</w:t>
      </w:r>
    </w:p>
    <w:p>
      <w:pPr>
        <w:ind w:left="3480"/>
        <w:spacing w:after="0" w:line="237" w:lineRule="auto"/>
        <w:rPr>
          <w:sz w:val="20"/>
          <w:szCs w:val="20"/>
          <w:color w:val="auto"/>
        </w:rPr>
      </w:pPr>
      <w:r>
        <w:rPr>
          <w:rFonts w:ascii="Courier New" w:cs="Courier New" w:eastAsia="Courier New" w:hAnsi="Courier New"/>
          <w:sz w:val="18"/>
          <w:szCs w:val="18"/>
          <w:color w:val="auto"/>
        </w:rPr>
        <w:t>(617) 570-1000</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20"/>
        <w:spacing w:after="0" w:line="235" w:lineRule="auto"/>
        <w:rPr>
          <w:sz w:val="20"/>
          <w:szCs w:val="20"/>
          <w:color w:val="auto"/>
        </w:rPr>
      </w:pPr>
      <w:r>
        <w:rPr>
          <w:rFonts w:ascii="Courier New" w:cs="Courier New" w:eastAsia="Courier New" w:hAnsi="Courier New"/>
          <w:sz w:val="18"/>
          <w:szCs w:val="18"/>
          <w:color w:val="auto"/>
        </w:rPr>
        <w:t>Title of Securities Being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Amounts to</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be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firstLine="105"/>
        <w:spacing w:after="0" w:line="273" w:lineRule="auto"/>
        <w:rPr>
          <w:sz w:val="20"/>
          <w:szCs w:val="20"/>
          <w:color w:val="auto"/>
        </w:rPr>
      </w:pPr>
      <w:r>
        <w:rPr>
          <w:rFonts w:ascii="Courier New" w:cs="Courier New" w:eastAsia="Courier New" w:hAnsi="Courier New"/>
          <w:sz w:val="16"/>
          <w:szCs w:val="16"/>
          <w:color w:val="auto"/>
        </w:rPr>
        <w:t>Proposed Maximum Offering Price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Proposed</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Maximum</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Offering</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 Fee</w:t>
      </w:r>
    </w:p>
    <w:p>
      <w:pPr>
        <w:spacing w:after="0" w:line="847" w:lineRule="exact"/>
        <w:rPr>
          <w:sz w:val="24"/>
          <w:szCs w:val="24"/>
          <w:color w:val="auto"/>
        </w:rPr>
      </w:pPr>
    </w:p>
    <w:p>
      <w:pPr>
        <w:sectPr>
          <w:pgSz w:w="11900" w:h="16838" w:orient="portrait"/>
          <w:cols w:equalWidth="0" w:num="5">
            <w:col w:w="2740" w:space="320"/>
            <w:col w:w="1060" w:space="320"/>
            <w:col w:w="940" w:space="420"/>
            <w:col w:w="940" w:space="440"/>
            <w:col w:w="3039"/>
          </w:cols>
          <w:pgMar w:left="240" w:top="649" w:right="1440" w:bottom="0" w:gutter="0" w:footer="0" w:header="0"/>
          <w:type w:val="continuous"/>
        </w:sectPr>
      </w:pPr>
    </w:p>
    <w:p>
      <w:pPr>
        <w:spacing w:after="0" w:line="187" w:lineRule="exact"/>
        <w:rPr>
          <w:sz w:val="24"/>
          <w:szCs w:val="24"/>
          <w:color w:val="auto"/>
        </w:rPr>
      </w:pPr>
    </w:p>
    <w:p>
      <w:pPr>
        <w:ind w:left="120" w:right="120" w:hanging="104"/>
        <w:spacing w:after="0"/>
        <w:rPr>
          <w:sz w:val="20"/>
          <w:szCs w:val="20"/>
          <w:color w:val="auto"/>
        </w:rPr>
      </w:pPr>
      <w:r>
        <w:rPr>
          <w:rFonts w:ascii="Courier New" w:cs="Courier New" w:eastAsia="Courier New" w:hAnsi="Courier New"/>
          <w:sz w:val="18"/>
          <w:szCs w:val="18"/>
          <w:color w:val="auto"/>
        </w:rPr>
        <w:t>Common Stock, par value</w:t>
      </w:r>
      <w:r>
        <w:rPr>
          <w:sz w:val="20"/>
          <w:szCs w:val="20"/>
          <w:color w:val="auto"/>
        </w:rPr>
        <w:t xml:space="preserve"> </w:t>
      </w:r>
      <w:r>
        <w:rPr>
          <w:rFonts w:ascii="Courier New" w:cs="Courier New" w:eastAsia="Courier New" w:hAnsi="Courier New"/>
          <w:sz w:val="18"/>
          <w:szCs w:val="18"/>
          <w:color w:val="auto"/>
        </w:rPr>
        <w:t>2,460,000 $11.4375 $28,136,250 $.01 per share shares (2) (3)</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$9,703</w:t>
      </w:r>
    </w:p>
    <w:p>
      <w:pPr>
        <w:spacing w:after="0" w:line="222" w:lineRule="exact"/>
        <w:rPr>
          <w:sz w:val="24"/>
          <w:szCs w:val="24"/>
          <w:color w:val="auto"/>
        </w:rPr>
      </w:pPr>
    </w:p>
    <w:p>
      <w:pPr>
        <w:sectPr>
          <w:pgSz w:w="11900" w:h="16838" w:orient="portrait"/>
          <w:cols w:equalWidth="0" w:num="2">
            <w:col w:w="7080" w:space="720"/>
            <w:col w:w="2419"/>
          </w:cols>
          <w:pgMar w:left="240" w:top="649"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420" w:right="1779"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Registration Statement also relates to such indeterminate number of additional shares of ANSYS, Inc. Common Stock as may be required pursuant to the 1996 Stock Option and Grant Plan and Employee Stock Purchase Plan in the event of a stock dividend, reverse stock split, split-up, recapitalization, forfeiture of stock under the Plans or other similar event.</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412" w:right="1999" w:hanging="412"/>
        <w:spacing w:after="0" w:line="236" w:lineRule="auto"/>
        <w:tabs>
          <w:tab w:leader="none" w:pos="41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2,250,000 shares and 210,000 shares to be offered pursuant to the 1996 Stock Option and Grant Plan and the Employee Stock Purchase Plan, respectively.</w:t>
      </w:r>
    </w:p>
    <w:p>
      <w:pPr>
        <w:spacing w:after="0" w:line="208" w:lineRule="exact"/>
        <w:rPr>
          <w:rFonts w:ascii="Courier New" w:cs="Courier New" w:eastAsia="Courier New" w:hAnsi="Courier New"/>
          <w:sz w:val="18"/>
          <w:szCs w:val="18"/>
          <w:color w:val="auto"/>
        </w:rPr>
      </w:pPr>
    </w:p>
    <w:p>
      <w:pPr>
        <w:ind w:left="412" w:right="1999" w:hanging="412"/>
        <w:spacing w:after="0" w:line="273" w:lineRule="auto"/>
        <w:tabs>
          <w:tab w:leader="none" w:pos="4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estimate is made pursuant to Rule 457(c) and (h) under the Securities Act of 1933 solely for the purposes of determining the amount of the registration fee. The registration fee is based upon the average of the high and low prices for the Registrant's Common Stock, par value $.01 per share, as reported on the Nasdaq National Market on July 16, 1996.</w:t>
      </w:r>
    </w:p>
    <w:p>
      <w:pPr>
        <w:spacing w:after="0" w:line="17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1"/>
          </w:cols>
          <w:pgMar w:left="248" w:top="14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Plan Information.*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Registrant Information and Employee Plan Annual Information.*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429"/>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required by Part I to be contained in the Section 10(a) Prospectuses is omitted from this Registration Statement in accordance with Rule 428 under the Securities Act of 1933 (the "Securities Act") and the Introductory Note to Part I of Form S-8.</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Certain Documents by Reference.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ANSYS, Inc. (the "Registrant") hereby incorporates by reference the following documents which have previously been filed with the Securities and Exchange Commission:</w:t>
      </w:r>
    </w:p>
    <w:p>
      <w:pPr>
        <w:spacing w:after="0" w:line="209" w:lineRule="exact"/>
        <w:rPr>
          <w:sz w:val="20"/>
          <w:szCs w:val="20"/>
          <w:color w:val="auto"/>
        </w:rPr>
      </w:pPr>
    </w:p>
    <w:p>
      <w:pPr>
        <w:ind w:left="1380" w:right="1999" w:hanging="951"/>
        <w:spacing w:after="0" w:line="279" w:lineRule="auto"/>
        <w:tabs>
          <w:tab w:leader="none" w:pos="13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Prospectus dated June 20, 1996 as filed with the Securities and Exchange Commission on June 20, 1996 pursuant to Rule 424(b) under the Securities Act (the "Prospectus");</w:t>
      </w:r>
    </w:p>
    <w:p>
      <w:pPr>
        <w:spacing w:after="0" w:line="178" w:lineRule="exact"/>
        <w:rPr>
          <w:rFonts w:ascii="Courier New" w:cs="Courier New" w:eastAsia="Courier New" w:hAnsi="Courier New"/>
          <w:sz w:val="16"/>
          <w:szCs w:val="16"/>
          <w:color w:val="auto"/>
        </w:rPr>
      </w:pPr>
    </w:p>
    <w:p>
      <w:pPr>
        <w:ind w:left="1380" w:right="1779" w:hanging="951"/>
        <w:spacing w:after="0" w:line="236"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with the Securities and Exchange Commission by the Registrant pursuant to Section 13(a) or 15(d) of the Securities Exchange Act of 1934 since June 20, 1996; and</w:t>
      </w:r>
    </w:p>
    <w:p>
      <w:pPr>
        <w:spacing w:after="0" w:line="208" w:lineRule="exact"/>
        <w:rPr>
          <w:rFonts w:ascii="Courier New" w:cs="Courier New" w:eastAsia="Courier New" w:hAnsi="Courier New"/>
          <w:sz w:val="18"/>
          <w:szCs w:val="18"/>
          <w:color w:val="auto"/>
        </w:rPr>
      </w:pPr>
    </w:p>
    <w:p>
      <w:pPr>
        <w:ind w:left="1380" w:right="1999" w:hanging="951"/>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Common Stock contained in the Registration Statement on Form 8-A dated June 12, 1996 as filed with the Securities and Exchange Commission on June 12, 1996 pursuant to Section 12(g) of the Securities Exchange Act of 1934, as amended.</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addition, all documents subsequently filed with the Securities and Exchange Commission by the Registrant pursuant to Sections 13(a), 13(c), 14 and 15(d) of the Securities Exchange Act of 1934, as amended (the "Exchange Act"), prior to the filing of a post-effective amendment hereto that indicates that all securities offered hereunder have been sold or which deregisters all securities then remaining unsold, shall be deemed to be incorporated by reference in this Registration Statement and to be a part hereof from the date of filing of such documents. Any statement contained in a document incorporated by reference herein shall be deemed to be modified or superseded for purposes hereof to the extent that a statement contained herein or in any subsequently filed document which also is incorporated by reference herein modifies or supersedes such statement. Any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Interests of Named Experts and Counsel.</w:t>
            </w:r>
          </w:p>
        </w:tc>
      </w:tr>
      <w:tr>
        <w:trPr>
          <w:trHeight w:val="203"/>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Not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Indemnification of Directors and Officers.</w:t>
            </w:r>
          </w:p>
        </w:tc>
      </w:tr>
      <w:tr>
        <w:trPr>
          <w:trHeight w:val="203"/>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accordance with Section 145 of the General Corporation Law of the State of Delaware, Article VII of the Registrant's Restated Certificate of Incorporation (the "Certificate") provides that no director of the Registrant shall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in respect of certain unlawful dividend payments or stock redemptions or repurchases, or (iv) for any transaction from which the director derived an improper personal benefit. In addition, the Certificate provides that if the Delaware General Corporation Law is amended to authorize the further elimination or limitation of the personal liability of directors, then the liability of a director of the Registrant shall be eliminated or limited to the fullest extent permitted by the Delaware General Corporation Law, as so amended.</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Article V of the Registrant's Amended and Restated By-laws (the "By-laws") provides for indemnification by the Registrant of its directors, officers and certain non-officer employees (including officers and certain non-officer employees of subsidiaries) under certain circumstances against expenses (including attorneys fees, judgments, fines and amounts paid in settlement) reasonably incurred in connection with the defense or settlement of any threatened, pending or completed legal proceeding in which any such person is involved by reason of the fact that such person is or was a director, an officer or an employee of the Registrant if such person acted in good faith and in a manner he or she reasonably believed to be in, or not opposed to, the best interests of the Registrant, and with respect to criminal actions or proceedings, that such person had no reasonable cause to believe his or her conduct was unlawful.</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Registrant has entered into indemnification agreements with each of its directors reflecting the foregoing provisions of its By-laws and requiring the advancement of expenses in proceedings, if such person had no reasonable cause to believe his or her conduct was unlawful.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Investment and Stockholders' Agreement dated as of February 7, 1994 by and among SAS Acquisition Corp., SAS Software, Inc., Dr. John A. Swanson, the TA Investors (as defined therein) and Marcia S. Morton, as amended, provides for indemnification by the Registrant of certain of its stockholders and the controlling persons of such stockholders against claims and liabilities, including claims and liabilities arising under the securities laws, subject to certain limitations.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 Section 8 of the Underwriting Agreement filed as Exhibit 1.1 to the Prospectus, the Underwriters have agreed to indemnify, under certain conditions, the Registrant, its directors, certain officers and persons who control the Registrant within the meaning of the Securities Act of 1993 against certain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6"/>
              </w:rPr>
              <w:t>Exemption from Registration Claimed.</w:t>
            </w:r>
          </w:p>
        </w:tc>
      </w:tr>
      <w:tr>
        <w:trPr>
          <w:trHeight w:val="203"/>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Not</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Exhibits.</w:t>
            </w:r>
          </w:p>
        </w:tc>
      </w:tr>
      <w:tr>
        <w:trPr>
          <w:trHeight w:val="203"/>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The following is a complete list of exhibits filed or incorporated by reference as part of this Registration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132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600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Opinion of</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Goodwin, Procter &amp; Hoar LLP as to the legality of the</w:t>
            </w:r>
          </w:p>
        </w:tc>
      </w:tr>
      <w:tr>
        <w:trPr>
          <w:trHeight w:val="203"/>
        </w:trPr>
        <w:tc>
          <w:tcPr>
            <w:tcW w:w="9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 registered</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Consent of</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Goodwin, Procter &amp; Hoar LLP (included in Exhibit 5.1)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Consent of</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Coopers &amp; Lybrand L.L.P.</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w:t>
            </w:r>
          </w:p>
        </w:tc>
        <w:tc>
          <w:tcPr>
            <w:tcW w:w="7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Powers of Attorney (included on signature pages to this Registration</w:t>
            </w:r>
          </w:p>
        </w:tc>
      </w:tr>
      <w:tr>
        <w:trPr>
          <w:trHeight w:val="203"/>
        </w:trPr>
        <w:tc>
          <w:tcPr>
            <w:tcW w:w="9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Statement)</w:t>
            </w:r>
          </w:p>
        </w:tc>
        <w:tc>
          <w:tcPr>
            <w:tcW w:w="600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Undertakings.</w:t>
            </w:r>
          </w:p>
        </w:tc>
      </w:tr>
      <w:tr>
        <w:trPr>
          <w:trHeight w:val="203"/>
        </w:trPr>
        <w:tc>
          <w:tcPr>
            <w:tcW w:w="90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6000" w:type="dxa"/>
            <w:vAlign w:val="bottom"/>
          </w:tcPr>
          <w:p>
            <w:pPr>
              <w:spacing w:after="0"/>
              <w:rPr>
                <w:sz w:val="17"/>
                <w:szCs w:val="17"/>
                <w:color w:val="auto"/>
              </w:rPr>
            </w:pPr>
          </w:p>
        </w:tc>
      </w:tr>
    </w:tbl>
    <w:p>
      <w:pPr>
        <w:spacing w:after="0" w:line="201"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580" w:right="1779" w:firstLine="1062"/>
        <w:spacing w:after="0" w:line="236" w:lineRule="auto"/>
        <w:tabs>
          <w:tab w:leader="none" w:pos="305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2120" w:right="1879" w:firstLine="1048"/>
        <w:spacing w:after="0" w:line="235" w:lineRule="auto"/>
        <w:tabs>
          <w:tab w:leader="none" w:pos="3595"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2120" w:right="1779" w:firstLine="1048"/>
        <w:spacing w:after="0" w:line="269" w:lineRule="auto"/>
        <w:tabs>
          <w:tab w:leader="none" w:pos="370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96" w:lineRule="exact"/>
        <w:rPr>
          <w:rFonts w:ascii="Courier New" w:cs="Courier New" w:eastAsia="Courier New" w:hAnsi="Courier New"/>
          <w:sz w:val="16"/>
          <w:szCs w:val="16"/>
          <w:color w:val="auto"/>
        </w:rPr>
      </w:pPr>
    </w:p>
    <w:p>
      <w:pPr>
        <w:ind w:left="2120" w:right="1779" w:firstLine="1048"/>
        <w:spacing w:after="0" w:line="237" w:lineRule="auto"/>
        <w:tabs>
          <w:tab w:leader="none" w:pos="3911"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1580" w:right="1779"/>
        <w:spacing w:after="0" w:line="272" w:lineRule="auto"/>
        <w:rPr>
          <w:sz w:val="20"/>
          <w:szCs w:val="20"/>
          <w:color w:val="auto"/>
        </w:rPr>
      </w:pPr>
      <w:r>
        <w:rPr>
          <w:rFonts w:ascii="Courier New" w:cs="Courier New" w:eastAsia="Courier New" w:hAnsi="Courier New"/>
          <w:sz w:val="16"/>
          <w:szCs w:val="16"/>
          <w:color w:val="auto"/>
        </w:rPr>
        <w:t>provided, however, that paragraphs (a)(1)(i) and (a)(1)(ii) herein do not apply if the information required to be included in a post-effective amendment by those paragraphs is contained in periodic reports filed by the undersigned registrant pursuant to Section 13 or Section 15(d) of the Exchange Act that are incorporated by reference in the Registration Statement;</w:t>
      </w:r>
    </w:p>
    <w:p>
      <w:pPr>
        <w:spacing w:after="0" w:line="186" w:lineRule="exact"/>
        <w:rPr>
          <w:sz w:val="20"/>
          <w:szCs w:val="20"/>
          <w:color w:val="auto"/>
        </w:rPr>
      </w:pPr>
    </w:p>
    <w:p>
      <w:pPr>
        <w:ind w:left="1580" w:right="1879" w:firstLine="1062"/>
        <w:spacing w:after="0" w:line="237" w:lineRule="auto"/>
        <w:tabs>
          <w:tab w:leader="none" w:pos="305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9" w:lineRule="exact"/>
        <w:rPr>
          <w:rFonts w:ascii="Courier New" w:cs="Courier New" w:eastAsia="Courier New" w:hAnsi="Courier New"/>
          <w:sz w:val="18"/>
          <w:szCs w:val="18"/>
          <w:color w:val="auto"/>
        </w:rPr>
      </w:pPr>
    </w:p>
    <w:p>
      <w:pPr>
        <w:ind w:left="1580" w:right="1879" w:firstLine="1062"/>
        <w:spacing w:after="0" w:line="236" w:lineRule="auto"/>
        <w:tabs>
          <w:tab w:leader="none" w:pos="305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970" w:gutter="0" w:footer="0" w:header="0"/>
        </w:sectPr>
      </w:pPr>
    </w:p>
    <w:bookmarkStart w:id="5" w:name="page6"/>
    <w:bookmarkEnd w:id="5"/>
    <w:p>
      <w:pPr>
        <w:ind w:left="519" w:right="2099"/>
        <w:spacing w:after="0" w:line="236" w:lineRule="auto"/>
        <w:rPr>
          <w:sz w:val="20"/>
          <w:szCs w:val="20"/>
          <w:color w:val="auto"/>
        </w:rPr>
      </w:pPr>
      <w:r>
        <w:rPr>
          <w:rFonts w:ascii="Courier New" w:cs="Courier New" w:eastAsia="Courier New" w:hAnsi="Courier New"/>
          <w:sz w:val="18"/>
          <w:szCs w:val="18"/>
          <w:color w:val="auto"/>
        </w:rPr>
        <w:t>to the securities offered therein, and the offering of such securities at that time shall be deemed to be the initial bona fide offering thereof.</w:t>
      </w:r>
    </w:p>
    <w:p>
      <w:pPr>
        <w:spacing w:after="0" w:line="209" w:lineRule="exact"/>
        <w:rPr>
          <w:sz w:val="20"/>
          <w:szCs w:val="20"/>
          <w:color w:val="auto"/>
        </w:rPr>
      </w:pPr>
    </w:p>
    <w:p>
      <w:pPr>
        <w:ind w:left="519" w:right="1779" w:hanging="519"/>
        <w:spacing w:after="0" w:line="238"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8"/>
          </w:cols>
          <w:pgMar w:left="1301" w:top="723"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ANSYS, Inc. certifies that it has reasonable grounds to believe that it meets all of the requirements for filing on Form S-8 and has duly caused this Registration Statement to be signed on its behalf by the undersigned, thereunto duly authorized, in Houston, Pennsylvania on this 23rd day of July, 1996.</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ANSYS, INC.</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Peter J. Smith</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Peter J. Smith</w:t>
      </w:r>
    </w:p>
    <w:p>
      <w:pPr>
        <w:jc w:val="center"/>
        <w:ind w:right="199"/>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each individual whose signature appears below constitutes and appoints each of Peter J. Smith and John M. Sherbin II such person's true and lawful attorney-in-fact and agent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20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717" w:right="1440"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760" w:space="720"/>
            <w:col w:w="2120" w:space="720"/>
            <w:col w:w="3899"/>
          </w:cols>
          <w:pgMar w:left="240" w:top="717" w:right="1440" w:bottom="16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J. Smith</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Chief Executive Officer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23, 1996</w:t>
      </w:r>
    </w:p>
    <w:p>
      <w:pPr>
        <w:spacing w:after="0" w:line="16" w:lineRule="exact"/>
        <w:rPr>
          <w:sz w:val="20"/>
          <w:szCs w:val="20"/>
          <w:color w:val="auto"/>
        </w:rPr>
      </w:pPr>
    </w:p>
    <w:p>
      <w:pPr>
        <w:sectPr>
          <w:pgSz w:w="11900" w:h="16838" w:orient="portrait"/>
          <w:cols w:equalWidth="0" w:num="3">
            <w:col w:w="2240" w:space="720"/>
            <w:col w:w="4120" w:space="720"/>
            <w:col w:w="2419"/>
          </w:cols>
          <w:pgMar w:left="240" w:top="717" w:right="1440" w:bottom="160" w:gutter="0" w:footer="0" w:header="0"/>
          <w:type w:val="continuous"/>
        </w:sect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and Director (Principal Executive Officer)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J. SMITH</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John M. Sherbin II</w:t>
      </w:r>
      <w:r>
        <w:rPr>
          <w:sz w:val="20"/>
          <w:szCs w:val="20"/>
          <w:color w:val="auto"/>
        </w:rPr>
        <w:tab/>
      </w:r>
      <w:r>
        <w:rPr>
          <w:rFonts w:ascii="Courier New" w:cs="Courier New" w:eastAsia="Courier New" w:hAnsi="Courier New"/>
          <w:sz w:val="18"/>
          <w:szCs w:val="18"/>
          <w:color w:val="auto"/>
        </w:rPr>
        <w:t>Chief Financial Officer (Principal Financial</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and Principal Accounting Officer)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M. SHERBIN II</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Dr. John A. Swanson</w:t>
      </w:r>
      <w:r>
        <w:rPr>
          <w:sz w:val="20"/>
          <w:szCs w:val="20"/>
          <w:color w:val="auto"/>
        </w:rPr>
        <w:tab/>
      </w:r>
      <w:r>
        <w:rPr>
          <w:rFonts w:ascii="Courier New" w:cs="Courier New" w:eastAsia="Courier New" w:hAnsi="Courier New"/>
          <w:sz w:val="18"/>
          <w:szCs w:val="18"/>
          <w:color w:val="auto"/>
        </w:rPr>
        <w:t>Chief Technologist and Director</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DR. JOHN A. SWANSON</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Jacqueline C. Morby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JACQUELINE C. MORBY</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Roger B. Kafker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B. KAFKER</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Gary B. Eichhorn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GARY B. EICHHORN</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John F. Smith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F. SMITH</w:t>
      </w:r>
    </w:p>
    <w:p>
      <w:pPr>
        <w:spacing w:after="0" w:line="202" w:lineRule="exact"/>
        <w:rPr>
          <w:sz w:val="20"/>
          <w:szCs w:val="20"/>
          <w:color w:val="auto"/>
        </w:rPr>
      </w:pPr>
    </w:p>
    <w:p>
      <w:pPr>
        <w:spacing w:after="0"/>
        <w:tabs>
          <w:tab w:leader="none" w:pos="2940" w:val="left"/>
          <w:tab w:leader="none" w:pos="7780" w:val="left"/>
        </w:tabs>
        <w:rPr>
          <w:sz w:val="20"/>
          <w:szCs w:val="20"/>
          <w:color w:val="auto"/>
        </w:rPr>
      </w:pPr>
      <w:r>
        <w:rPr>
          <w:rFonts w:ascii="Courier New" w:cs="Courier New" w:eastAsia="Courier New" w:hAnsi="Courier New"/>
          <w:sz w:val="18"/>
          <w:szCs w:val="18"/>
          <w:color w:val="auto"/>
        </w:rPr>
        <w:t>/s/ Roger J. Heinen, Jr.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23, 1996</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J. HEINEN, JR.</w:t>
      </w:r>
    </w:p>
    <w:p>
      <w:pPr>
        <w:sectPr>
          <w:pgSz w:w="11900" w:h="16838" w:orient="portrait"/>
          <w:cols w:equalWidth="0" w:num="1">
            <w:col w:w="10219"/>
          </w:cols>
          <w:pgMar w:left="240" w:top="717" w:right="1440" w:bottom="160" w:gutter="0" w:footer="0" w:header="0"/>
          <w:type w:val="continuous"/>
        </w:sectPr>
      </w:pPr>
    </w:p>
    <w:bookmarkStart w:id="7" w:name="page8"/>
    <w:bookmarkEnd w:id="7"/>
    <w:p>
      <w:pPr>
        <w:ind w:left="354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9019"/>
          </w:cols>
          <w:pgMar w:left="1440" w:top="34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5060" w:type="dxa"/>
            <w:vAlign w:val="bottom"/>
            <w:gridSpan w:val="2"/>
          </w:tcPr>
          <w:p>
            <w:pPr>
              <w:ind w:left="1260"/>
              <w:spacing w:after="0"/>
              <w:rPr>
                <w:sz w:val="20"/>
                <w:szCs w:val="20"/>
                <w:color w:val="auto"/>
              </w:rPr>
            </w:pPr>
            <w:r>
              <w:rPr>
                <w:rFonts w:ascii="Courier New" w:cs="Courier New" w:eastAsia="Courier New" w:hAnsi="Courier New"/>
                <w:sz w:val="18"/>
                <w:szCs w:val="18"/>
                <w:color w:val="auto"/>
              </w:rPr>
              <w:t>EXHIBIT INDEX</w:t>
            </w:r>
          </w:p>
        </w:tc>
        <w:tc>
          <w:tcPr>
            <w:tcW w:w="1260" w:type="dxa"/>
            <w:vAlign w:val="bottom"/>
          </w:tcPr>
          <w:p>
            <w:pPr>
              <w:spacing w:after="0"/>
              <w:rPr>
                <w:sz w:val="17"/>
                <w:szCs w:val="17"/>
                <w:color w:val="auto"/>
              </w:rPr>
            </w:pPr>
          </w:p>
        </w:tc>
      </w:tr>
      <w:tr>
        <w:trPr>
          <w:trHeight w:val="1013"/>
        </w:trPr>
        <w:tc>
          <w:tcPr>
            <w:tcW w:w="2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0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Description</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 No.</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6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5.1</w:t>
            </w:r>
          </w:p>
        </w:tc>
        <w:tc>
          <w:tcPr>
            <w:tcW w:w="50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Opinion of Goodwin, Procter &amp; Hoar LLP</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r>
      <w:tr>
        <w:trPr>
          <w:trHeight w:val="203"/>
        </w:trPr>
        <w:tc>
          <w:tcPr>
            <w:tcW w:w="2220" w:type="dxa"/>
            <w:vAlign w:val="bottom"/>
          </w:tcPr>
          <w:p>
            <w:pPr>
              <w:spacing w:after="0"/>
              <w:rPr>
                <w:sz w:val="17"/>
                <w:szCs w:val="17"/>
                <w:color w:val="auto"/>
              </w:rPr>
            </w:pP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as to the</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legality of the securities</w:t>
            </w:r>
          </w:p>
        </w:tc>
        <w:tc>
          <w:tcPr>
            <w:tcW w:w="1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0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being registered</w:t>
            </w:r>
          </w:p>
        </w:tc>
        <w:tc>
          <w:tcPr>
            <w:tcW w:w="1260" w:type="dxa"/>
            <w:vAlign w:val="bottom"/>
          </w:tcPr>
          <w:p>
            <w:pPr>
              <w:spacing w:after="0"/>
              <w:rPr>
                <w:sz w:val="17"/>
                <w:szCs w:val="17"/>
                <w:color w:val="auto"/>
              </w:rPr>
            </w:pPr>
          </w:p>
        </w:tc>
      </w:tr>
      <w:tr>
        <w:trPr>
          <w:trHeight w:val="608"/>
        </w:trPr>
        <w:tc>
          <w:tcPr>
            <w:tcW w:w="222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2"/>
              </w:rPr>
              <w:t>23.1</w:t>
            </w:r>
          </w:p>
        </w:tc>
        <w:tc>
          <w:tcPr>
            <w:tcW w:w="50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Consent of Goodwin, Procter &amp; Hoar LLP</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r>
      <w:tr>
        <w:trPr>
          <w:trHeight w:val="203"/>
        </w:trPr>
        <w:tc>
          <w:tcPr>
            <w:tcW w:w="2220" w:type="dxa"/>
            <w:vAlign w:val="bottom"/>
          </w:tcPr>
          <w:p>
            <w:pPr>
              <w:spacing w:after="0"/>
              <w:rPr>
                <w:sz w:val="17"/>
                <w:szCs w:val="17"/>
                <w:color w:val="auto"/>
              </w:rPr>
            </w:pP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(included</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 Exhibit 5.1)</w:t>
            </w:r>
          </w:p>
        </w:tc>
        <w:tc>
          <w:tcPr>
            <w:tcW w:w="1260" w:type="dxa"/>
            <w:vAlign w:val="bottom"/>
          </w:tcPr>
          <w:p>
            <w:pPr>
              <w:spacing w:after="0"/>
              <w:rPr>
                <w:sz w:val="17"/>
                <w:szCs w:val="17"/>
                <w:color w:val="auto"/>
              </w:rPr>
            </w:pPr>
          </w:p>
        </w:tc>
      </w:tr>
      <w:tr>
        <w:trPr>
          <w:trHeight w:val="608"/>
        </w:trPr>
        <w:tc>
          <w:tcPr>
            <w:tcW w:w="222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2"/>
              </w:rPr>
              <w:t>23.2</w:t>
            </w:r>
          </w:p>
        </w:tc>
        <w:tc>
          <w:tcPr>
            <w:tcW w:w="50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Consent of Coopers &amp; Lybrand L.L.P.</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w:t>
            </w:r>
          </w:p>
        </w:tc>
      </w:tr>
      <w:tr>
        <w:trPr>
          <w:trHeight w:val="608"/>
        </w:trPr>
        <w:tc>
          <w:tcPr>
            <w:tcW w:w="2220" w:type="dxa"/>
            <w:vAlign w:val="bottom"/>
          </w:tcPr>
          <w:p>
            <w:pPr>
              <w:jc w:val="right"/>
              <w:ind w:right="1712"/>
              <w:spacing w:after="0"/>
              <w:rPr>
                <w:sz w:val="20"/>
                <w:szCs w:val="20"/>
                <w:color w:val="auto"/>
              </w:rPr>
            </w:pPr>
            <w:r>
              <w:rPr>
                <w:rFonts w:ascii="Courier New" w:cs="Courier New" w:eastAsia="Courier New" w:hAnsi="Courier New"/>
                <w:sz w:val="18"/>
                <w:szCs w:val="18"/>
                <w:color w:val="auto"/>
                <w:w w:val="92"/>
              </w:rPr>
              <w:t>24.1</w:t>
            </w:r>
          </w:p>
        </w:tc>
        <w:tc>
          <w:tcPr>
            <w:tcW w:w="1900" w:type="dxa"/>
            <w:vAlign w:val="bottom"/>
          </w:tcPr>
          <w:p>
            <w:pPr>
              <w:ind w:left="840"/>
              <w:spacing w:after="0"/>
              <w:rPr>
                <w:sz w:val="20"/>
                <w:szCs w:val="20"/>
                <w:color w:val="auto"/>
              </w:rPr>
            </w:pPr>
            <w:r>
              <w:rPr>
                <w:rFonts w:ascii="Courier New" w:cs="Courier New" w:eastAsia="Courier New" w:hAnsi="Courier New"/>
                <w:sz w:val="18"/>
                <w:szCs w:val="18"/>
                <w:color w:val="auto"/>
              </w:rPr>
              <w:t>Powers of</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Attorney (included on</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S-1</w:t>
            </w:r>
          </w:p>
        </w:tc>
      </w:tr>
      <w:tr>
        <w:trPr>
          <w:trHeight w:val="203"/>
        </w:trPr>
        <w:tc>
          <w:tcPr>
            <w:tcW w:w="2220" w:type="dxa"/>
            <w:vAlign w:val="bottom"/>
          </w:tcPr>
          <w:p>
            <w:pPr>
              <w:spacing w:after="0"/>
              <w:rPr>
                <w:sz w:val="17"/>
                <w:szCs w:val="17"/>
                <w:color w:val="auto"/>
              </w:rPr>
            </w:pP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signature</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pages to this Registration</w:t>
            </w:r>
          </w:p>
        </w:tc>
        <w:tc>
          <w:tcPr>
            <w:tcW w:w="12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Statement)</w:t>
            </w:r>
          </w:p>
        </w:tc>
        <w:tc>
          <w:tcPr>
            <w:tcW w:w="3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013"/>
        </w:trPr>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12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[LETTERHEAD OF GOODWIN, PROCTER &amp; HOAR LLP APPEARS HERE]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July 23,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ANSYS, Inc.</w:t>
      </w:r>
    </w:p>
    <w:p>
      <w:pPr>
        <w:spacing w:after="0" w:line="238" w:lineRule="auto"/>
        <w:rPr>
          <w:sz w:val="20"/>
          <w:szCs w:val="20"/>
          <w:color w:val="auto"/>
        </w:rPr>
      </w:pPr>
      <w:r>
        <w:rPr>
          <w:rFonts w:ascii="Courier New" w:cs="Courier New" w:eastAsia="Courier New" w:hAnsi="Courier New"/>
          <w:sz w:val="18"/>
          <w:szCs w:val="18"/>
          <w:color w:val="auto"/>
        </w:rPr>
        <w:t>201 Johnson Road</w:t>
      </w:r>
    </w:p>
    <w:p>
      <w:pPr>
        <w:spacing w:after="0"/>
        <w:rPr>
          <w:sz w:val="20"/>
          <w:szCs w:val="20"/>
          <w:color w:val="auto"/>
        </w:rPr>
      </w:pPr>
      <w:r>
        <w:rPr>
          <w:rFonts w:ascii="Courier New" w:cs="Courier New" w:eastAsia="Courier New" w:hAnsi="Courier New"/>
          <w:sz w:val="18"/>
          <w:szCs w:val="18"/>
          <w:color w:val="auto"/>
        </w:rPr>
        <w:t>Houston, PA 15342-1300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ectPr>
          <w:pgSz w:w="11900" w:h="16838" w:orient="portrait"/>
          <w:cols w:equalWidth="0" w:num="1">
            <w:col w:w="10219"/>
          </w:cols>
          <w:pgMar w:left="240" w:top="541" w:right="1440" w:bottom="1440" w:gutter="0" w:footer="0" w:header="0"/>
        </w:sect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541" w:right="1440" w:bottom="1440" w:gutter="0" w:footer="0" w:header="0"/>
          <w:type w:val="continuous"/>
        </w:sectPr>
      </w:pPr>
    </w:p>
    <w:p>
      <w:pPr>
        <w:spacing w:after="0" w:line="24"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This opinion is delivered in our capacity as counsel to ANSYS, Inc. (the "Company") in connection with the preparation and filing with the Securities and Exchange Commission under the Securities Act of 1933, as amended, of a Registration Statement on Form S-8 (the "Registration Statement") relating to 2,460,000 shares of Common Stock, par value $.01 per share (the "Registered Shares"). Of the Registered Shares, the Company is authorized to issue 210,000 shares pursuant to the ANSYS, Inc. Employee Stock Purchase Plan ("ESPP") and 2,250,000 shares pursuant to the ANSYS, Inc. 1996 Stock Option and Grant Plan (the "1996 Plan," and together with the ESPP, the "Plans").</w:t>
      </w:r>
    </w:p>
    <w:p>
      <w:pPr>
        <w:spacing w:after="0" w:line="184" w:lineRule="exact"/>
        <w:rPr>
          <w:sz w:val="20"/>
          <w:szCs w:val="20"/>
          <w:color w:val="auto"/>
        </w:rPr>
      </w:pPr>
    </w:p>
    <w:p>
      <w:pPr>
        <w:jc w:val="both"/>
        <w:ind w:right="2099" w:firstLine="1053"/>
        <w:spacing w:after="0" w:line="237" w:lineRule="auto"/>
        <w:rPr>
          <w:sz w:val="20"/>
          <w:szCs w:val="20"/>
          <w:color w:val="auto"/>
        </w:rPr>
      </w:pPr>
      <w:r>
        <w:rPr>
          <w:rFonts w:ascii="Courier New" w:cs="Courier New" w:eastAsia="Courier New" w:hAnsi="Courier New"/>
          <w:sz w:val="18"/>
          <w:szCs w:val="18"/>
          <w:color w:val="auto"/>
        </w:rPr>
        <w:t>As counsel for the Company, we have examined a copy of each of the Plans and the Company's Restated Certificate of Incorporation and Amended and Restated By-laws, each as presently in effect, and such records, certificates and other documents of the Company as we have deemed necessary or appropriate for the purposes of this opinion.</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Based on the foregoing, we are of the opinion that, when the Registered Shares are sold and paid for pursuant to the terms of the respective Plans, the Registered Shares will be duly authorized, legally issued, fully paid and non-assessable by the Company under the General Corporation Law of the State of Delaware.</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We hereby consent to being named as counsel to the Company in the Registration Statement and to the inclusion of this opinion as an exhibit to the Registration Statement.</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860"/>
        <w:spacing w:after="0"/>
        <w:tabs>
          <w:tab w:leader="none" w:pos="7880" w:val="left"/>
        </w:tabs>
        <w:rPr>
          <w:sz w:val="20"/>
          <w:szCs w:val="20"/>
          <w:color w:val="auto"/>
        </w:rPr>
      </w:pPr>
      <w:r>
        <w:rPr>
          <w:rFonts w:ascii="Courier New" w:cs="Courier New" w:eastAsia="Courier New" w:hAnsi="Courier New"/>
          <w:sz w:val="18"/>
          <w:szCs w:val="18"/>
          <w:color w:val="auto"/>
        </w:rPr>
        <w:t>/s/ Goodwin, Procter &amp; Hoar</w:t>
      </w:r>
      <w:r>
        <w:rPr>
          <w:sz w:val="20"/>
          <w:szCs w:val="20"/>
          <w:color w:val="auto"/>
        </w:rPr>
        <w:tab/>
      </w:r>
      <w:r>
        <w:rPr>
          <w:rFonts w:ascii="Courier New" w:cs="Courier New" w:eastAsia="Courier New" w:hAnsi="Courier New"/>
          <w:sz w:val="16"/>
          <w:szCs w:val="16"/>
          <w:color w:val="auto"/>
        </w:rPr>
        <w:t>LLP</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GOODWIN, PROCTER &amp; HOAR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541" w:right="1440" w:bottom="1440" w:gutter="0" w:footer="0" w:header="0"/>
          <w:type w:val="continuous"/>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S-8 of ANSYS, Inc. (the "Registrant") of our reports dated April 19, 1996 relating to the consolidated financial statements of ANSYS, Inc. and its subsidiaries as of December 31, 1994 and 1995 and for the period from March 14, 1994 through December 31, 1994 and for the year ended December 31, 1995; and combined Financial Statements of Swanson Analysis Systems, Inc. for the year ended December 31, 1993 and for the period January 1, 1994 through March 13, 1994, included in the Registrant's Prospectus dated June 20, 1996 filed pursuant to Rule 424(b) in connection with the Registrant's Registration Statement on Form S-1 (No. 333-4278).</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Pittsburgh, Pennsylvania</w:t>
      </w:r>
    </w:p>
    <w:p>
      <w:pPr>
        <w:spacing w:after="0" w:line="238" w:lineRule="auto"/>
        <w:rPr>
          <w:sz w:val="20"/>
          <w:szCs w:val="20"/>
          <w:color w:val="auto"/>
        </w:rPr>
      </w:pPr>
      <w:r>
        <w:rPr>
          <w:rFonts w:ascii="Courier New" w:cs="Courier New" w:eastAsia="Courier New" w:hAnsi="Courier New"/>
          <w:sz w:val="18"/>
          <w:szCs w:val="18"/>
          <w:color w:val="auto"/>
        </w:rPr>
        <w:t>July 23,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1F16E9E8"/>
    <w:multiLevelType w:val="hybridMultilevel"/>
    <w:lvl w:ilvl="0">
      <w:lvlJc w:val="left"/>
      <w:lvlText w:val="%1"/>
      <w:numFmt w:val="lowerLetter"/>
      <w:start w:val="1"/>
    </w:lvl>
    <w:lvl w:ilvl="1">
      <w:lvlJc w:val="left"/>
      <w:lvlText w:val="(%2)"/>
      <w:numFmt w:val="decimal"/>
      <w:start w:val="2"/>
    </w:lvl>
  </w:abstractNum>
  <w:abstractNum w:abstractNumId="6">
    <w:nsid w:val="1190CDE7"/>
    <w:multiLevelType w:val="hybridMultilevel"/>
    <w:lvl w:ilvl="0">
      <w:lvlJc w:val="left"/>
      <w:lvlText w:val="(%1)"/>
      <w:numFmt w:val="lowerLetter"/>
      <w:start w:val="2"/>
    </w:lvl>
    <w:lvl w:ilvl="1">
      <w:lvlJc w:val="left"/>
      <w:lvlText w:val="%2"/>
      <w:numFmt w:val="decimal"/>
      <w:start w:val="1"/>
    </w:lvl>
  </w:abstractNum>
  <w:abstractNum w:abstractNumId="7">
    <w:nsid w:val="66EF438D"/>
    <w:multiLevelType w:val="hybridMultilevel"/>
    <w:lvl w:ilvl="0">
      <w:lvlJc w:val="left"/>
      <w:lvlText w:val="(%1)"/>
      <w:numFmt w:val="lowerLetter"/>
      <w:start w:val="3"/>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2020-02-15T23:26:23Z</dcterms:created>
  <dcterms:modified xsi:type="dcterms:W3CDTF">2020-02-15T23:26:23Z</dcterms:modified>
</cp:coreProperties>
</file>